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90225" w14:textId="1D6CC39F" w:rsidR="008845DB" w:rsidRPr="00A45D97" w:rsidRDefault="008845DB" w:rsidP="008845D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CD6817">
        <w:rPr>
          <w:rFonts w:ascii="Times New Roman" w:hAnsi="Times New Roman"/>
          <w:sz w:val="24"/>
          <w:szCs w:val="24"/>
        </w:rPr>
        <w:t>R4-23</w:t>
      </w:r>
      <w:r w:rsidR="00CD6817" w:rsidRPr="00CD6817">
        <w:rPr>
          <w:rFonts w:ascii="Times New Roman" w:hAnsi="Times New Roman"/>
          <w:sz w:val="24"/>
          <w:szCs w:val="24"/>
        </w:rPr>
        <w:t>12671</w:t>
      </w:r>
    </w:p>
    <w:p w14:paraId="798C37E3" w14:textId="612B65FF" w:rsidR="008845DB" w:rsidRPr="00A6356A" w:rsidRDefault="008845DB" w:rsidP="00933040">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p w14:paraId="2C1C61A8" w14:textId="452A2364" w:rsidR="00CC5B11" w:rsidRPr="00E53B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w:t>
      </w:r>
      <w:r w:rsidRPr="00E53B97">
        <w:rPr>
          <w:rFonts w:ascii="Times New Roman" w:eastAsia="宋体" w:hAnsi="Times New Roman" w:cs="Times New Roman"/>
          <w:b/>
        </w:rPr>
        <w:t>m:</w:t>
      </w:r>
      <w:r w:rsidRPr="00E53B97">
        <w:rPr>
          <w:rFonts w:ascii="Times New Roman" w:eastAsia="宋体" w:hAnsi="Times New Roman" w:cs="Times New Roman"/>
          <w:b/>
        </w:rPr>
        <w:tab/>
      </w:r>
      <w:r w:rsidR="00A16A4F">
        <w:rPr>
          <w:rFonts w:ascii="Times New Roman" w:eastAsia="宋体" w:hAnsi="Times New Roman" w:cs="Times New Roman"/>
          <w:b/>
        </w:rPr>
        <w:t>8</w:t>
      </w:r>
      <w:r w:rsidRPr="00E53B97">
        <w:rPr>
          <w:rFonts w:ascii="Times New Roman" w:eastAsia="宋体" w:hAnsi="Times New Roman" w:cs="Times New Roman"/>
          <w:b/>
        </w:rPr>
        <w:t>.</w:t>
      </w:r>
      <w:r w:rsidR="00F56BFA" w:rsidRPr="00E53B97">
        <w:rPr>
          <w:rFonts w:ascii="Times New Roman" w:eastAsia="宋体" w:hAnsi="Times New Roman" w:cs="Times New Roman"/>
          <w:b/>
        </w:rPr>
        <w:t>2</w:t>
      </w:r>
      <w:r w:rsidR="008845DB">
        <w:rPr>
          <w:rFonts w:ascii="Times New Roman" w:eastAsia="宋体" w:hAnsi="Times New Roman" w:cs="Times New Roman"/>
          <w:b/>
        </w:rPr>
        <w:t>2</w:t>
      </w:r>
      <w:r w:rsidRPr="00E53B97">
        <w:rPr>
          <w:rFonts w:ascii="Times New Roman" w:eastAsia="宋体" w:hAnsi="Times New Roman" w:cs="Times New Roman"/>
          <w:b/>
        </w:rPr>
        <w:t>.</w:t>
      </w:r>
      <w:r w:rsidR="00F56BFA" w:rsidRPr="00E53B97">
        <w:rPr>
          <w:rFonts w:ascii="Times New Roman" w:eastAsia="宋体" w:hAnsi="Times New Roman" w:cs="Times New Roman"/>
          <w:b/>
        </w:rPr>
        <w:t>3</w:t>
      </w:r>
      <w:r w:rsidR="00933040" w:rsidRPr="00E53B97">
        <w:rPr>
          <w:rFonts w:ascii="Times New Roman" w:eastAsia="宋体" w:hAnsi="Times New Roman" w:cs="Times New Roman"/>
          <w:b/>
        </w:rPr>
        <w:t>.</w:t>
      </w:r>
      <w:r w:rsidR="00F56BFA" w:rsidRPr="00E53B97">
        <w:rPr>
          <w:rFonts w:ascii="Times New Roman" w:eastAsia="宋体" w:hAnsi="Times New Roman" w:cs="Times New Roman"/>
          <w:b/>
        </w:rPr>
        <w:t>3</w:t>
      </w:r>
    </w:p>
    <w:p w14:paraId="57DB46B7" w14:textId="77777777" w:rsidR="00CC5B11" w:rsidRPr="00E53B97" w:rsidRDefault="00CC5B11" w:rsidP="00CC5B11">
      <w:pPr>
        <w:tabs>
          <w:tab w:val="left" w:pos="1985"/>
        </w:tabs>
        <w:spacing w:before="60" w:after="60"/>
        <w:rPr>
          <w:rFonts w:ascii="Times New Roman" w:hAnsi="Times New Roman" w:cs="Times New Roman"/>
          <w:lang w:eastAsia="ja-JP"/>
        </w:rPr>
      </w:pPr>
      <w:r w:rsidRPr="00E53B97">
        <w:rPr>
          <w:rFonts w:ascii="Times New Roman" w:hAnsi="Times New Roman" w:cs="Times New Roman"/>
          <w:b/>
        </w:rPr>
        <w:t xml:space="preserve">Source: </w:t>
      </w:r>
      <w:r w:rsidRPr="00E53B97">
        <w:rPr>
          <w:rFonts w:ascii="Times New Roman" w:hAnsi="Times New Roman" w:cs="Times New Roman"/>
          <w:b/>
        </w:rPr>
        <w:tab/>
        <w:t>OPPO</w:t>
      </w:r>
    </w:p>
    <w:p w14:paraId="1234CEC6" w14:textId="3FD52341" w:rsidR="00CC5B11" w:rsidRPr="00E53B97" w:rsidRDefault="00CC5B11" w:rsidP="00CC5B11">
      <w:pPr>
        <w:tabs>
          <w:tab w:val="left" w:pos="1985"/>
        </w:tabs>
        <w:spacing w:before="60" w:after="60"/>
        <w:rPr>
          <w:rFonts w:ascii="Times New Roman" w:eastAsia="宋体" w:hAnsi="Times New Roman" w:cs="Times New Roman"/>
        </w:rPr>
      </w:pPr>
      <w:r w:rsidRPr="00E53B97">
        <w:rPr>
          <w:rFonts w:ascii="Times New Roman" w:hAnsi="Times New Roman" w:cs="Times New Roman"/>
          <w:b/>
        </w:rPr>
        <w:t>Title:</w:t>
      </w:r>
      <w:r w:rsidRPr="00E53B97">
        <w:rPr>
          <w:rFonts w:ascii="Times New Roman" w:hAnsi="Times New Roman" w:cs="Times New Roman"/>
        </w:rPr>
        <w:t xml:space="preserve"> </w:t>
      </w:r>
      <w:r w:rsidRPr="00E53B97">
        <w:rPr>
          <w:rFonts w:ascii="Times New Roman" w:hAnsi="Times New Roman" w:cs="Times New Roman"/>
        </w:rPr>
        <w:tab/>
      </w:r>
      <w:r w:rsidR="0063593B" w:rsidRPr="00E53B97">
        <w:rPr>
          <w:rFonts w:ascii="Times New Roman" w:hAnsi="Times New Roman" w:cs="Times New Roman"/>
          <w:b/>
          <w:lang w:eastAsia="ja-JP"/>
        </w:rPr>
        <w:t>Di</w:t>
      </w:r>
      <w:r w:rsidRPr="00E53B97">
        <w:rPr>
          <w:rFonts w:ascii="Times New Roman" w:hAnsi="Times New Roman" w:cs="Times New Roman"/>
          <w:b/>
          <w:lang w:eastAsia="ja-JP"/>
        </w:rPr>
        <w:t>scussion on</w:t>
      </w:r>
      <w:r w:rsidR="005C556E" w:rsidRPr="00E53B97">
        <w:rPr>
          <w:rFonts w:ascii="Times New Roman" w:hAnsi="Times New Roman" w:cs="Times New Roman"/>
          <w:b/>
          <w:lang w:eastAsia="ja-JP"/>
        </w:rPr>
        <w:t xml:space="preserve"> LPHAP use case</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E53B97">
        <w:rPr>
          <w:rFonts w:ascii="Times New Roman" w:hAnsi="Times New Roman" w:cs="Times New Roman"/>
          <w:b/>
        </w:rPr>
        <w:t>Document for:</w:t>
      </w:r>
      <w:r w:rsidRPr="00E53B97">
        <w:rPr>
          <w:rFonts w:ascii="Times New Roman" w:hAnsi="Times New Roman" w:cs="Times New Roman"/>
        </w:rPr>
        <w:tab/>
      </w:r>
      <w:r w:rsidR="00415AC2" w:rsidRPr="00E53B97">
        <w:rPr>
          <w:rFonts w:ascii="Times New Roman" w:hAnsi="Times New Roman" w:cs="Times New Roman"/>
          <w:b/>
        </w:rPr>
        <w:t>Approval</w:t>
      </w:r>
      <w:bookmarkStart w:id="1" w:name="_GoBack"/>
      <w:bookmarkEnd w:id="1"/>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17FBD6BD" w14:textId="66B825F1" w:rsidR="00A6408D" w:rsidRDefault="00B2402F" w:rsidP="00B662C7">
      <w:pPr>
        <w:pStyle w:val="a6"/>
        <w:rPr>
          <w:rFonts w:ascii="Times New Roman" w:hAnsi="Times New Roman" w:cs="Times New Roman"/>
          <w:szCs w:val="20"/>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42732D">
        <w:rPr>
          <w:rFonts w:ascii="Times New Roman" w:hAnsi="Times New Roman" w:cs="Times New Roman"/>
          <w:szCs w:val="20"/>
        </w:rPr>
        <w:t>LPHAP use case 6</w:t>
      </w:r>
      <w:r w:rsidR="001A42B4">
        <w:rPr>
          <w:rFonts w:ascii="Times New Roman" w:hAnsi="Times New Roman" w:cs="Times New Roman"/>
          <w:szCs w:val="20"/>
        </w:rPr>
        <w:t xml:space="preserve"> </w:t>
      </w:r>
      <w:r w:rsidR="005E428B">
        <w:rPr>
          <w:rFonts w:ascii="Times New Roman" w:hAnsi="Times New Roman" w:cs="Times New Roman"/>
          <w:szCs w:val="20"/>
        </w:rPr>
        <w:t>will be considered in Rel-18</w:t>
      </w:r>
      <w:r w:rsidR="0002150D">
        <w:rPr>
          <w:rFonts w:ascii="Times New Roman" w:hAnsi="Times New Roman" w:cs="Times New Roman"/>
          <w:szCs w:val="20"/>
        </w:rPr>
        <w:t>.</w:t>
      </w:r>
      <w:r w:rsidR="008702ED">
        <w:rPr>
          <w:rFonts w:ascii="Times New Roman" w:hAnsi="Times New Roman" w:cs="Times New Roman"/>
          <w:szCs w:val="20"/>
        </w:rPr>
        <w:t xml:space="preserve"> And </w:t>
      </w:r>
      <w:r w:rsidR="0068185F">
        <w:rPr>
          <w:rFonts w:ascii="Times New Roman" w:hAnsi="Times New Roman" w:cs="Times New Roman"/>
          <w:szCs w:val="20"/>
        </w:rPr>
        <w:t xml:space="preserve">RAN4 reached </w:t>
      </w:r>
      <w:r w:rsidR="00B15246">
        <w:rPr>
          <w:rFonts w:ascii="Times New Roman" w:hAnsi="Times New Roman" w:cs="Times New Roman"/>
          <w:szCs w:val="20"/>
        </w:rPr>
        <w:t xml:space="preserve">some </w:t>
      </w:r>
      <w:r w:rsidR="0068185F">
        <w:rPr>
          <w:rFonts w:ascii="Times New Roman" w:hAnsi="Times New Roman" w:cs="Times New Roman"/>
          <w:szCs w:val="20"/>
        </w:rPr>
        <w:t>agreement</w:t>
      </w:r>
      <w:r w:rsidR="00B15246">
        <w:rPr>
          <w:rFonts w:ascii="Times New Roman" w:hAnsi="Times New Roman" w:cs="Times New Roman"/>
          <w:szCs w:val="20"/>
        </w:rPr>
        <w:t>s</w:t>
      </w:r>
      <w:r w:rsidR="0068185F">
        <w:rPr>
          <w:rFonts w:ascii="Times New Roman" w:hAnsi="Times New Roman" w:cs="Times New Roman"/>
          <w:szCs w:val="20"/>
        </w:rPr>
        <w:t xml:space="preserve"> </w:t>
      </w:r>
      <w:r w:rsidR="00B15246">
        <w:rPr>
          <w:rFonts w:ascii="Times New Roman" w:hAnsi="Times New Roman" w:cs="Times New Roman"/>
          <w:szCs w:val="20"/>
        </w:rPr>
        <w:t>on PRS measurements</w:t>
      </w:r>
      <w:r w:rsidR="0068185F">
        <w:rPr>
          <w:rFonts w:ascii="Times New Roman" w:hAnsi="Times New Roman" w:cs="Times New Roman"/>
          <w:szCs w:val="20"/>
        </w:rPr>
        <w:t xml:space="preserve"> in RRC </w:t>
      </w:r>
      <w:r w:rsidR="00576981">
        <w:rPr>
          <w:rFonts w:ascii="Times New Roman" w:hAnsi="Times New Roman" w:cs="Times New Roman"/>
          <w:szCs w:val="20"/>
        </w:rPr>
        <w:t>inactive</w:t>
      </w:r>
      <w:r w:rsidR="00B15246">
        <w:rPr>
          <w:rFonts w:ascii="Times New Roman" w:hAnsi="Times New Roman" w:cs="Times New Roman"/>
          <w:szCs w:val="20"/>
        </w:rPr>
        <w:t xml:space="preserve"> and idle</w:t>
      </w:r>
      <w:r w:rsidR="0068185F">
        <w:rPr>
          <w:rFonts w:ascii="Times New Roman" w:hAnsi="Times New Roman" w:cs="Times New Roman"/>
          <w:szCs w:val="20"/>
        </w:rPr>
        <w:t xml:space="preserve"> state</w:t>
      </w:r>
      <w:r w:rsidR="00AF01E6">
        <w:rPr>
          <w:rFonts w:ascii="Times New Roman" w:hAnsi="Times New Roman" w:cs="Times New Roman"/>
          <w:szCs w:val="20"/>
        </w:rPr>
        <w:t xml:space="preserve">s </w:t>
      </w:r>
      <w:r w:rsidR="00A6408D">
        <w:rPr>
          <w:rFonts w:ascii="Times New Roman" w:hAnsi="Times New Roman" w:cs="Times New Roman"/>
          <w:szCs w:val="20"/>
        </w:rPr>
        <w:t>[1]</w:t>
      </w:r>
      <w:r w:rsidR="0068185F">
        <w:rPr>
          <w:rFonts w:ascii="Times New Roman" w:hAnsi="Times New Roman" w:cs="Times New Roman"/>
          <w:szCs w:val="20"/>
        </w:rPr>
        <w:t xml:space="preserve">. </w:t>
      </w:r>
    </w:p>
    <w:p w14:paraId="6C4244F2" w14:textId="448B32C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D55425" w14:paraId="3F22C235" w14:textId="77777777" w:rsidTr="00D55425">
        <w:tc>
          <w:tcPr>
            <w:tcW w:w="9629" w:type="dxa"/>
          </w:tcPr>
          <w:p w14:paraId="280A0B36" w14:textId="77777777" w:rsidR="00D55425" w:rsidRPr="00D55425" w:rsidRDefault="00D55425" w:rsidP="00D55425">
            <w:pPr>
              <w:rPr>
                <w:rFonts w:ascii="Times New Roman" w:hAnsi="Times New Roman" w:cs="Times New Roman"/>
                <w:b/>
                <w:sz w:val="20"/>
                <w:lang w:val="en-US"/>
              </w:rPr>
            </w:pPr>
            <w:r w:rsidRPr="00D55425">
              <w:rPr>
                <w:rFonts w:ascii="Times New Roman" w:hAnsi="Times New Roman" w:cs="Times New Roman"/>
                <w:b/>
                <w:sz w:val="20"/>
                <w:lang w:val="en-US"/>
              </w:rPr>
              <w:t xml:space="preserve">Issue 1-1-5: </w:t>
            </w:r>
            <w:r w:rsidRPr="00D55425">
              <w:rPr>
                <w:rFonts w:ascii="Times New Roman" w:hAnsi="Times New Roman" w:cs="Times New Roman"/>
                <w:b/>
                <w:sz w:val="20"/>
              </w:rPr>
              <w:t>T</w:t>
            </w:r>
            <w:r w:rsidRPr="00D55425">
              <w:rPr>
                <w:rFonts w:ascii="Times New Roman" w:hAnsi="Times New Roman" w:cs="Times New Roman"/>
                <w:b/>
                <w:sz w:val="20"/>
                <w:vertAlign w:val="subscript"/>
              </w:rPr>
              <w:t>available</w:t>
            </w:r>
            <w:r w:rsidRPr="00D55425">
              <w:rPr>
                <w:rFonts w:ascii="Times New Roman" w:hAnsi="Times New Roman" w:cs="Times New Roman"/>
                <w:b/>
                <w:sz w:val="20"/>
              </w:rPr>
              <w:t xml:space="preserve"> for PRS requirements with RAN eDRX &gt; 10.24s</w:t>
            </w:r>
          </w:p>
          <w:p w14:paraId="245CF182" w14:textId="77777777" w:rsidR="00D55425" w:rsidRPr="00D55425" w:rsidRDefault="00D55425" w:rsidP="00D55425">
            <w:pPr>
              <w:pStyle w:val="aff4"/>
              <w:numPr>
                <w:ilvl w:val="0"/>
                <w:numId w:val="28"/>
              </w:numPr>
              <w:spacing w:after="120" w:line="240" w:lineRule="auto"/>
              <w:ind w:left="720"/>
              <w:rPr>
                <w:rFonts w:ascii="Times New Roman" w:hAnsi="Times New Roman" w:cs="Times New Roman"/>
                <w:color w:val="0070C0"/>
                <w:sz w:val="20"/>
                <w:highlight w:val="green"/>
              </w:rPr>
            </w:pPr>
            <w:r w:rsidRPr="00D55425">
              <w:rPr>
                <w:rFonts w:ascii="Times New Roman" w:hAnsi="Times New Roman" w:cs="Times New Roman"/>
                <w:color w:val="0070C0"/>
                <w:sz w:val="20"/>
                <w:highlight w:val="green"/>
              </w:rPr>
              <w:t>Agreement (from online session)</w:t>
            </w:r>
          </w:p>
          <w:p w14:paraId="1CA9C85E" w14:textId="77777777" w:rsidR="00D55425" w:rsidRPr="00D55425" w:rsidRDefault="00D55425" w:rsidP="00D55425">
            <w:pPr>
              <w:pStyle w:val="aff4"/>
              <w:numPr>
                <w:ilvl w:val="1"/>
                <w:numId w:val="28"/>
              </w:numPr>
              <w:overflowPunct w:val="0"/>
              <w:autoSpaceDE w:val="0"/>
              <w:autoSpaceDN w:val="0"/>
              <w:adjustRightInd w:val="0"/>
              <w:spacing w:after="120" w:line="252" w:lineRule="auto"/>
              <w:textAlignment w:val="baseline"/>
              <w:rPr>
                <w:rFonts w:ascii="Times New Roman" w:hAnsi="Times New Roman" w:cs="Times New Roman"/>
                <w:sz w:val="20"/>
                <w:lang w:val="en-US" w:eastAsia="ja-JP"/>
              </w:rPr>
            </w:pPr>
            <w:r w:rsidRPr="00D55425">
              <w:rPr>
                <w:rFonts w:ascii="Times New Roman" w:hAnsi="Times New Roman" w:cs="Times New Roman"/>
                <w:sz w:val="20"/>
                <w:lang w:val="en-US" w:eastAsia="ja-JP"/>
              </w:rPr>
              <w:t xml:space="preserve">PRS measurements are not limited to PTW </w:t>
            </w:r>
          </w:p>
          <w:p w14:paraId="38788435" w14:textId="77777777" w:rsidR="00D55425" w:rsidRPr="00D55425" w:rsidRDefault="00D55425" w:rsidP="00D55425">
            <w:pPr>
              <w:pStyle w:val="aff4"/>
              <w:numPr>
                <w:ilvl w:val="1"/>
                <w:numId w:val="28"/>
              </w:numPr>
              <w:overflowPunct w:val="0"/>
              <w:autoSpaceDE w:val="0"/>
              <w:autoSpaceDN w:val="0"/>
              <w:adjustRightInd w:val="0"/>
              <w:spacing w:after="120" w:line="252" w:lineRule="auto"/>
              <w:textAlignment w:val="baseline"/>
              <w:rPr>
                <w:rFonts w:ascii="Times New Roman" w:hAnsi="Times New Roman" w:cs="Times New Roman"/>
                <w:sz w:val="20"/>
                <w:lang w:val="en-US" w:eastAsia="ja-JP"/>
              </w:rPr>
            </w:pPr>
            <w:r w:rsidRPr="00D55425">
              <w:rPr>
                <w:rFonts w:ascii="Times New Roman" w:hAnsi="Times New Roman" w:cs="Times New Roman"/>
                <w:sz w:val="20"/>
                <w:lang w:val="en-US" w:eastAsia="ja-JP"/>
              </w:rPr>
              <w:t>PRS measurements start instance is FFS</w:t>
            </w:r>
          </w:p>
          <w:p w14:paraId="0274B8BA" w14:textId="77777777" w:rsidR="00D55425" w:rsidRPr="00D55425" w:rsidRDefault="00D55425" w:rsidP="00D55425">
            <w:pPr>
              <w:pStyle w:val="aff4"/>
              <w:numPr>
                <w:ilvl w:val="2"/>
                <w:numId w:val="28"/>
              </w:numPr>
              <w:overflowPunct w:val="0"/>
              <w:autoSpaceDE w:val="0"/>
              <w:autoSpaceDN w:val="0"/>
              <w:adjustRightInd w:val="0"/>
              <w:spacing w:after="120" w:line="252" w:lineRule="auto"/>
              <w:textAlignment w:val="baseline"/>
              <w:rPr>
                <w:rFonts w:ascii="Times New Roman" w:hAnsi="Times New Roman" w:cs="Times New Roman"/>
                <w:sz w:val="20"/>
                <w:lang w:val="en-US" w:eastAsia="ja-JP"/>
              </w:rPr>
            </w:pPr>
            <w:r w:rsidRPr="00D55425">
              <w:rPr>
                <w:rFonts w:ascii="Times New Roman" w:hAnsi="Times New Roman" w:cs="Times New Roman"/>
                <w:sz w:val="20"/>
                <w:lang w:val="en-US" w:eastAsia="ja-JP"/>
              </w:rPr>
              <w:t>Option 1: PRS measurements start within the PTW</w:t>
            </w:r>
          </w:p>
          <w:p w14:paraId="6EF4C47C" w14:textId="5AFED0FF" w:rsidR="00D55425" w:rsidRPr="00770854" w:rsidRDefault="00D55425" w:rsidP="00770854">
            <w:pPr>
              <w:pStyle w:val="aff4"/>
              <w:numPr>
                <w:ilvl w:val="2"/>
                <w:numId w:val="28"/>
              </w:numPr>
              <w:overflowPunct w:val="0"/>
              <w:autoSpaceDE w:val="0"/>
              <w:autoSpaceDN w:val="0"/>
              <w:adjustRightInd w:val="0"/>
              <w:spacing w:after="120" w:line="252" w:lineRule="auto"/>
              <w:textAlignment w:val="baseline"/>
              <w:rPr>
                <w:rFonts w:ascii="Times New Roman" w:hAnsi="Times New Roman" w:cs="Times New Roman"/>
                <w:sz w:val="20"/>
                <w:lang w:val="en-US" w:eastAsia="ja-JP"/>
              </w:rPr>
            </w:pPr>
            <w:r w:rsidRPr="00D55425">
              <w:rPr>
                <w:rFonts w:ascii="Times New Roman" w:hAnsi="Times New Roman" w:cs="Times New Roman"/>
                <w:sz w:val="20"/>
                <w:lang w:val="en-US" w:eastAsia="ja-JP"/>
              </w:rPr>
              <w:t>Option 2: PRS measurements start is not limited to PTW</w:t>
            </w:r>
          </w:p>
        </w:tc>
      </w:tr>
    </w:tbl>
    <w:p w14:paraId="11DF3961" w14:textId="3FC5788E" w:rsidR="008D06C5" w:rsidRDefault="008D06C5" w:rsidP="008D06C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It was agreed that PRS measurements are not limited within PTW.</w:t>
      </w:r>
      <w:r w:rsidR="00D45DAC">
        <w:rPr>
          <w:rFonts w:ascii="Times New Roman" w:eastAsiaTheme="minorEastAsia" w:hAnsi="Times New Roman" w:cs="Times New Roman"/>
          <w:lang w:eastAsia="zh-CN"/>
        </w:rPr>
        <w:t xml:space="preserve"> But whether PRS measurements should start within PTW will be further discussed. From UE perspective, limiting the start of PRS measurement within PTW is helpful</w:t>
      </w:r>
      <w:r w:rsidR="004C6B03">
        <w:rPr>
          <w:rFonts w:ascii="Times New Roman" w:eastAsiaTheme="minorEastAsia" w:hAnsi="Times New Roman" w:cs="Times New Roman"/>
          <w:lang w:eastAsia="zh-CN"/>
        </w:rPr>
        <w:t>. On the one hand, the PRS measurement accuracy will benefit from the more accurate timing and frequency synchronization in PTW</w:t>
      </w:r>
      <w:r>
        <w:rPr>
          <w:rFonts w:ascii="Times New Roman" w:hAnsi="Times New Roman" w:cs="Times New Roman"/>
        </w:rPr>
        <w:t>.</w:t>
      </w:r>
      <w:r w:rsidR="004C6B03">
        <w:rPr>
          <w:rFonts w:ascii="Times New Roman" w:hAnsi="Times New Roman" w:cs="Times New Roman"/>
        </w:rPr>
        <w:t xml:space="preserve"> On the other hand, </w:t>
      </w:r>
      <w:r w:rsidR="000D1A43">
        <w:rPr>
          <w:rFonts w:ascii="Times New Roman" w:hAnsi="Times New Roman" w:cs="Times New Roman"/>
        </w:rPr>
        <w:t xml:space="preserve">UE could avoid wake up separately for PTW and PRS measurement </w:t>
      </w:r>
      <w:r w:rsidR="004C6B03">
        <w:rPr>
          <w:rFonts w:ascii="Times New Roman" w:hAnsi="Times New Roman" w:cs="Times New Roman"/>
        </w:rPr>
        <w:t>and</w:t>
      </w:r>
      <w:r w:rsidR="000D1A43">
        <w:rPr>
          <w:rFonts w:ascii="Times New Roman" w:hAnsi="Times New Roman" w:cs="Times New Roman"/>
        </w:rPr>
        <w:t xml:space="preserve"> therefore</w:t>
      </w:r>
      <w:r w:rsidR="004C6B03">
        <w:rPr>
          <w:rFonts w:ascii="Times New Roman" w:hAnsi="Times New Roman" w:cs="Times New Roman"/>
        </w:rPr>
        <w:t xml:space="preserve"> the power consumption will be reduced. </w:t>
      </w:r>
    </w:p>
    <w:p w14:paraId="210809A3" w14:textId="5743C1EF" w:rsidR="00D55425" w:rsidRPr="00D55425" w:rsidRDefault="008D06C5" w:rsidP="00D55425">
      <w:pPr>
        <w:rPr>
          <w:lang w:val="en-GB" w:eastAsia="ja-JP"/>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PRS </w:t>
      </w:r>
      <w:r>
        <w:rPr>
          <w:rFonts w:ascii="Times New Roman" w:eastAsiaTheme="minorEastAsia" w:hAnsi="Times New Roman" w:cs="Times New Roman" w:hint="eastAsia"/>
          <w:b/>
          <w:lang w:val="en-GB" w:eastAsia="zh-CN"/>
        </w:rPr>
        <w:t>measurement</w:t>
      </w:r>
      <w:r>
        <w:rPr>
          <w:rFonts w:ascii="Times New Roman" w:eastAsiaTheme="minorEastAsia" w:hAnsi="Times New Roman" w:cs="Times New Roman"/>
          <w:b/>
          <w:lang w:val="en-GB" w:eastAsia="zh-CN"/>
        </w:rPr>
        <w:t>s should start within PTW.</w:t>
      </w:r>
    </w:p>
    <w:tbl>
      <w:tblPr>
        <w:tblStyle w:val="afc"/>
        <w:tblW w:w="0" w:type="auto"/>
        <w:tblLook w:val="04A0" w:firstRow="1" w:lastRow="0" w:firstColumn="1" w:lastColumn="0" w:noHBand="0" w:noVBand="1"/>
      </w:tblPr>
      <w:tblGrid>
        <w:gridCol w:w="9629"/>
      </w:tblGrid>
      <w:tr w:rsidR="00FF2814" w:rsidRPr="00444554" w14:paraId="187FB23D" w14:textId="77777777" w:rsidTr="00FF2814">
        <w:tc>
          <w:tcPr>
            <w:tcW w:w="9629" w:type="dxa"/>
          </w:tcPr>
          <w:p w14:paraId="40041ECF" w14:textId="77777777" w:rsidR="00E77753" w:rsidRPr="00E77753" w:rsidRDefault="00E77753" w:rsidP="00E77753">
            <w:pPr>
              <w:rPr>
                <w:rFonts w:ascii="Times New Roman" w:hAnsi="Times New Roman" w:cs="Times New Roman"/>
                <w:b/>
                <w:sz w:val="20"/>
                <w:lang w:val="en-US"/>
              </w:rPr>
            </w:pPr>
            <w:r w:rsidRPr="00E77753">
              <w:rPr>
                <w:rFonts w:ascii="Times New Roman" w:hAnsi="Times New Roman" w:cs="Times New Roman"/>
                <w:b/>
                <w:sz w:val="20"/>
                <w:lang w:val="en-US"/>
              </w:rPr>
              <w:t>Issue 1-1-6: Scaling of legacy requirements related to eDRX</w:t>
            </w:r>
          </w:p>
          <w:p w14:paraId="791EC329" w14:textId="77777777" w:rsidR="00E77753" w:rsidRPr="00E77753" w:rsidRDefault="00E77753" w:rsidP="00E77753">
            <w:pPr>
              <w:pStyle w:val="aff4"/>
              <w:numPr>
                <w:ilvl w:val="0"/>
                <w:numId w:val="28"/>
              </w:numPr>
              <w:spacing w:after="120" w:line="240" w:lineRule="auto"/>
              <w:ind w:left="720"/>
              <w:rPr>
                <w:rFonts w:ascii="Times New Roman" w:hAnsi="Times New Roman" w:cs="Times New Roman"/>
                <w:color w:val="0070C0"/>
                <w:sz w:val="20"/>
              </w:rPr>
            </w:pPr>
            <w:r w:rsidRPr="00E77753">
              <w:rPr>
                <w:rFonts w:ascii="Times New Roman" w:hAnsi="Times New Roman" w:cs="Times New Roman" w:hint="eastAsia"/>
                <w:color w:val="0070C0"/>
                <w:sz w:val="20"/>
              </w:rPr>
              <w:t>Wayforward</w:t>
            </w:r>
          </w:p>
          <w:p w14:paraId="2C32058A" w14:textId="77777777" w:rsidR="00E77753" w:rsidRPr="00E77753" w:rsidRDefault="00E77753" w:rsidP="00E7775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 xml:space="preserve">Option 1: </w:t>
            </w:r>
          </w:p>
          <w:p w14:paraId="160B4C89" w14:textId="77777777" w:rsidR="00E77753" w:rsidRPr="00E77753" w:rsidRDefault="00E77753" w:rsidP="00E77753">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 xml:space="preserve">The legacy measurement period can be used as baseline and define or update a scaling factor related to </w:t>
            </w:r>
            <w:proofErr w:type="spellStart"/>
            <w:r w:rsidRPr="00E77753">
              <w:rPr>
                <w:rFonts w:ascii="Times New Roman" w:hAnsi="Times New Roman" w:cs="Times New Roman"/>
                <w:sz w:val="20"/>
                <w:lang w:val="en-US"/>
              </w:rPr>
              <w:t>eDRX</w:t>
            </w:r>
            <w:proofErr w:type="spellEnd"/>
            <w:r w:rsidRPr="00E77753">
              <w:rPr>
                <w:rFonts w:ascii="Times New Roman" w:hAnsi="Times New Roman" w:cs="Times New Roman"/>
                <w:sz w:val="20"/>
                <w:lang w:val="en-US"/>
              </w:rPr>
              <w:t xml:space="preserve"> in the period requirement calculation.</w:t>
            </w:r>
          </w:p>
          <w:p w14:paraId="4A83EF99" w14:textId="77777777" w:rsidR="00E77753" w:rsidRPr="00E77753" w:rsidRDefault="00E77753" w:rsidP="00E7775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 xml:space="preserve">Option 2: </w:t>
            </w:r>
          </w:p>
          <w:p w14:paraId="428B9387" w14:textId="77777777" w:rsidR="00E77753" w:rsidRPr="00E77753" w:rsidRDefault="00E77753" w:rsidP="00E77753">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RAN4 should reuse the existing framework of requirements rather than introducing a new scaling factor.</w:t>
            </w:r>
          </w:p>
          <w:p w14:paraId="7FA77ECD" w14:textId="77777777" w:rsidR="00E77753" w:rsidRPr="00E77753" w:rsidRDefault="00E77753" w:rsidP="00E77753">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 xml:space="preserve">Option 3: </w:t>
            </w:r>
          </w:p>
          <w:p w14:paraId="547B47D6" w14:textId="10169276" w:rsidR="00FF2814" w:rsidRPr="00E77753" w:rsidRDefault="00E77753" w:rsidP="00E77753">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lang w:val="en-US"/>
              </w:rPr>
            </w:pPr>
            <w:r w:rsidRPr="00E77753">
              <w:rPr>
                <w:rFonts w:ascii="Times New Roman" w:hAnsi="Times New Roman" w:cs="Times New Roman"/>
                <w:sz w:val="20"/>
                <w:lang w:val="en-US"/>
              </w:rPr>
              <w:t xml:space="preserve">RAN4 to postpone discussion on the need for any scaling factor related to </w:t>
            </w:r>
            <w:proofErr w:type="spellStart"/>
            <w:r w:rsidRPr="00E77753">
              <w:rPr>
                <w:rFonts w:ascii="Times New Roman" w:hAnsi="Times New Roman" w:cs="Times New Roman"/>
                <w:sz w:val="20"/>
                <w:lang w:val="en-US"/>
              </w:rPr>
              <w:t>eDRX</w:t>
            </w:r>
            <w:proofErr w:type="spellEnd"/>
            <w:r w:rsidRPr="00E77753">
              <w:rPr>
                <w:rFonts w:ascii="Times New Roman" w:hAnsi="Times New Roman" w:cs="Times New Roman"/>
                <w:sz w:val="20"/>
                <w:lang w:val="en-US"/>
              </w:rPr>
              <w:t xml:space="preserve"> in the period requirement calculation until issues related to </w:t>
            </w:r>
            <w:proofErr w:type="spellStart"/>
            <w:r w:rsidRPr="00E77753">
              <w:rPr>
                <w:rFonts w:ascii="Times New Roman" w:hAnsi="Times New Roman" w:cs="Times New Roman"/>
                <w:sz w:val="20"/>
                <w:lang w:val="en-US"/>
              </w:rPr>
              <w:t>eDRX</w:t>
            </w:r>
            <w:proofErr w:type="spellEnd"/>
            <w:r w:rsidRPr="00E77753">
              <w:rPr>
                <w:rFonts w:ascii="Times New Roman" w:hAnsi="Times New Roman" w:cs="Times New Roman"/>
                <w:sz w:val="20"/>
                <w:lang w:val="en-US"/>
              </w:rPr>
              <w:t xml:space="preserve"> &gt; 10.24s are settled.</w:t>
            </w:r>
          </w:p>
        </w:tc>
      </w:tr>
    </w:tbl>
    <w:p w14:paraId="7BC7FEF4" w14:textId="4353A328" w:rsidR="000C722F" w:rsidRDefault="00BA7BE8" w:rsidP="00FA6702">
      <w:pPr>
        <w:jc w:val="both"/>
        <w:rPr>
          <w:rFonts w:ascii="Times New Roman" w:eastAsiaTheme="minorEastAsia" w:hAnsi="Times New Roman" w:cs="Times New Roman"/>
          <w:lang w:eastAsia="zh-CN"/>
        </w:rPr>
      </w:pPr>
      <w:r w:rsidRPr="003E1AE5">
        <w:rPr>
          <w:rFonts w:ascii="Times New Roman" w:eastAsiaTheme="minorEastAsia" w:hAnsi="Times New Roman" w:cs="Times New Roman"/>
          <w:lang w:eastAsia="zh-CN"/>
        </w:rPr>
        <w:t xml:space="preserve">As for how to define the measurement period with </w:t>
      </w:r>
      <w:proofErr w:type="spellStart"/>
      <w:r w:rsidRPr="003E1AE5">
        <w:rPr>
          <w:rFonts w:ascii="Times New Roman" w:eastAsiaTheme="minorEastAsia" w:hAnsi="Times New Roman" w:cs="Times New Roman"/>
          <w:lang w:eastAsia="zh-CN"/>
        </w:rPr>
        <w:t>eDRX</w:t>
      </w:r>
      <w:proofErr w:type="spellEnd"/>
      <w:r w:rsidRPr="003E1AE5">
        <w:rPr>
          <w:rFonts w:ascii="Times New Roman" w:eastAsiaTheme="minorEastAsia" w:hAnsi="Times New Roman" w:cs="Times New Roman"/>
          <w:lang w:eastAsia="zh-CN"/>
        </w:rPr>
        <w:t>, we prefer option 2 to reuse</w:t>
      </w:r>
      <w:r w:rsidR="005E5ABF" w:rsidRPr="003E1AE5">
        <w:rPr>
          <w:rFonts w:ascii="Times New Roman" w:eastAsiaTheme="minorEastAsia" w:hAnsi="Times New Roman" w:cs="Times New Roman"/>
          <w:lang w:eastAsia="zh-CN"/>
        </w:rPr>
        <w:t xml:space="preserve"> the scaling factor related to </w:t>
      </w:r>
      <w:proofErr w:type="spellStart"/>
      <w:r w:rsidR="005E5ABF" w:rsidRPr="003E1AE5">
        <w:rPr>
          <w:rFonts w:ascii="Times New Roman" w:eastAsiaTheme="minorEastAsia" w:hAnsi="Times New Roman" w:cs="Times New Roman"/>
          <w:lang w:eastAsia="zh-CN"/>
        </w:rPr>
        <w:t>eDRX</w:t>
      </w:r>
      <w:proofErr w:type="spellEnd"/>
      <w:r w:rsidRPr="003E1AE5">
        <w:rPr>
          <w:rFonts w:ascii="Times New Roman" w:eastAsiaTheme="minorEastAsia" w:hAnsi="Times New Roman" w:cs="Times New Roman"/>
          <w:lang w:eastAsia="zh-CN"/>
        </w:rPr>
        <w:t xml:space="preserve"> of the existing requirements rather than introducing a new scaling factor</w:t>
      </w:r>
      <w:r w:rsidR="003433CE" w:rsidRPr="003E1AE5">
        <w:rPr>
          <w:rFonts w:ascii="Times New Roman" w:hAnsi="Times New Roman" w:cs="Times New Roman"/>
        </w:rPr>
        <w:t>.</w:t>
      </w:r>
    </w:p>
    <w:p w14:paraId="35A24FDF" w14:textId="7E75B6DC" w:rsidR="00191CFB" w:rsidRDefault="00FA6702" w:rsidP="0006433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27F54">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77753">
        <w:rPr>
          <w:rFonts w:ascii="Times New Roman" w:eastAsiaTheme="minorEastAsia" w:hAnsi="Times New Roman" w:cs="Times New Roman"/>
          <w:b/>
          <w:lang w:val="en-GB" w:eastAsia="zh-CN"/>
        </w:rPr>
        <w:t xml:space="preserve">The scaling </w:t>
      </w:r>
      <w:r w:rsidR="005E5ABF">
        <w:rPr>
          <w:rFonts w:ascii="Times New Roman" w:eastAsiaTheme="minorEastAsia" w:hAnsi="Times New Roman" w:cs="Times New Roman"/>
          <w:b/>
          <w:lang w:val="en-GB" w:eastAsia="zh-CN"/>
        </w:rPr>
        <w:t xml:space="preserve">factor </w:t>
      </w:r>
      <w:r w:rsidR="00E77753">
        <w:rPr>
          <w:rFonts w:ascii="Times New Roman" w:eastAsiaTheme="minorEastAsia" w:hAnsi="Times New Roman" w:cs="Times New Roman"/>
          <w:b/>
          <w:lang w:val="en-GB" w:eastAsia="zh-CN"/>
        </w:rPr>
        <w:t xml:space="preserve">of existing requirements related to </w:t>
      </w:r>
      <w:proofErr w:type="spellStart"/>
      <w:r w:rsidR="00E77753">
        <w:rPr>
          <w:rFonts w:ascii="Times New Roman" w:eastAsiaTheme="minorEastAsia" w:hAnsi="Times New Roman" w:cs="Times New Roman"/>
          <w:b/>
          <w:lang w:val="en-GB" w:eastAsia="zh-CN"/>
        </w:rPr>
        <w:t>eDRX</w:t>
      </w:r>
      <w:proofErr w:type="spellEnd"/>
      <w:r w:rsidR="00E77753">
        <w:rPr>
          <w:rFonts w:ascii="Times New Roman" w:eastAsiaTheme="minorEastAsia" w:hAnsi="Times New Roman" w:cs="Times New Roman"/>
          <w:b/>
          <w:lang w:val="en-GB" w:eastAsia="zh-CN"/>
        </w:rPr>
        <w:t xml:space="preserve"> should be used as baseline for LPHAP</w:t>
      </w:r>
      <w:r w:rsidR="00B31D2A" w:rsidRPr="00B31D2A">
        <w:rPr>
          <w:rFonts w:ascii="Times New Roman" w:hAnsi="Times New Roman" w:cs="Times New Roman"/>
          <w:b/>
        </w:rPr>
        <w:t>.</w:t>
      </w:r>
      <w:r w:rsidR="00191CFB">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5F492B" w:rsidRPr="005F492B" w14:paraId="3934DE38" w14:textId="77777777" w:rsidTr="005F492B">
        <w:tc>
          <w:tcPr>
            <w:tcW w:w="9629" w:type="dxa"/>
          </w:tcPr>
          <w:p w14:paraId="7158B8A1" w14:textId="77777777" w:rsidR="005F492B" w:rsidRPr="005F492B" w:rsidRDefault="005F492B" w:rsidP="005F492B">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Times New Roman" w:eastAsia="Times New Roman" w:hAnsi="Times New Roman" w:cs="Times New Roman"/>
                <w:sz w:val="20"/>
                <w:szCs w:val="20"/>
                <w:lang w:eastAsia="en-GB"/>
              </w:rPr>
            </w:pPr>
            <w:r w:rsidRPr="005F492B">
              <w:rPr>
                <w:rFonts w:ascii="Times New Roman" w:eastAsia="Times New Roman" w:hAnsi="Times New Roman" w:cs="Times New Roman"/>
                <w:sz w:val="20"/>
                <w:szCs w:val="20"/>
                <w:lang w:eastAsia="en-GB"/>
              </w:rPr>
              <w:lastRenderedPageBreak/>
              <w:t>1. Overall Description:</w:t>
            </w:r>
          </w:p>
          <w:p w14:paraId="73AFDDDD" w14:textId="77777777" w:rsidR="005F492B" w:rsidRPr="005F492B" w:rsidRDefault="005F492B" w:rsidP="005F492B">
            <w:pPr>
              <w:pStyle w:val="af3"/>
              <w:rPr>
                <w:rFonts w:ascii="Times New Roman" w:eastAsia="Times New Roman" w:hAnsi="Times New Roman"/>
                <w:b w:val="0"/>
                <w:bCs/>
                <w:sz w:val="20"/>
                <w:szCs w:val="20"/>
                <w:lang w:eastAsia="en-GB"/>
              </w:rPr>
            </w:pPr>
            <w:r w:rsidRPr="005F492B">
              <w:rPr>
                <w:rFonts w:ascii="Times New Roman" w:eastAsia="Times New Roman" w:hAnsi="Times New Roman"/>
                <w:b w:val="0"/>
                <w:bCs/>
                <w:sz w:val="20"/>
                <w:szCs w:val="20"/>
                <w:lang w:eastAsia="en-GB"/>
              </w:rPr>
              <w:t>In the Rel-18 WI Expanded and Improved NR Positioning, with regard to LPHAP (Low Power High Accuracy Positioning), RAN1 discussed the determination of UL timing</w:t>
            </w:r>
            <w:r w:rsidRPr="005F492B">
              <w:rPr>
                <w:rFonts w:ascii="Times New Roman" w:eastAsia="Batang" w:hAnsi="Times New Roman"/>
                <w:b w:val="0"/>
                <w:sz w:val="20"/>
                <w:szCs w:val="20"/>
                <w:lang w:eastAsia="zh-CN"/>
              </w:rPr>
              <w:t xml:space="preserve"> to transmit SRS for positioning by UEs in RRC_INACTIVE state within the SRS positioning validity consists of multiple cells, and made the following agreement</w:t>
            </w:r>
            <w:r w:rsidRPr="005F492B">
              <w:rPr>
                <w:rFonts w:ascii="Times New Roman" w:eastAsia="Times New Roman" w:hAnsi="Times New Roman"/>
                <w:b w:val="0"/>
                <w:bCs/>
                <w:sz w:val="20"/>
                <w:szCs w:val="20"/>
                <w:lang w:eastAsia="en-GB"/>
              </w:rPr>
              <w:t xml:space="preserve">: </w:t>
            </w:r>
          </w:p>
          <w:p w14:paraId="3CDF5E59" w14:textId="77777777" w:rsidR="005F492B" w:rsidRPr="005F492B" w:rsidRDefault="005F492B" w:rsidP="005F492B">
            <w:pPr>
              <w:pStyle w:val="af3"/>
              <w:rPr>
                <w:rFonts w:ascii="Times New Roman" w:eastAsia="Times New Roman" w:hAnsi="Times New Roman"/>
                <w:b w:val="0"/>
                <w:sz w:val="20"/>
                <w:szCs w:val="20"/>
              </w:rPr>
            </w:pPr>
          </w:p>
          <w:tbl>
            <w:tblPr>
              <w:tblStyle w:val="afc"/>
              <w:tblW w:w="0" w:type="auto"/>
              <w:tblLook w:val="04A0" w:firstRow="1" w:lastRow="0" w:firstColumn="1" w:lastColumn="0" w:noHBand="0" w:noVBand="1"/>
            </w:tblPr>
            <w:tblGrid>
              <w:gridCol w:w="9307"/>
            </w:tblGrid>
            <w:tr w:rsidR="005F492B" w:rsidRPr="005F492B" w14:paraId="7061E583" w14:textId="77777777" w:rsidTr="004766F7">
              <w:tc>
                <w:tcPr>
                  <w:tcW w:w="9307" w:type="dxa"/>
                </w:tcPr>
                <w:p w14:paraId="603347EF" w14:textId="77777777" w:rsidR="005F492B" w:rsidRPr="005F492B" w:rsidRDefault="005F492B" w:rsidP="005F492B">
                  <w:pPr>
                    <w:rPr>
                      <w:rFonts w:ascii="Times New Roman" w:eastAsia="等线" w:hAnsi="Times New Roman" w:cs="Times New Roman"/>
                      <w:b/>
                      <w:bCs/>
                      <w:sz w:val="20"/>
                      <w:szCs w:val="20"/>
                      <w:lang w:val="en-US" w:eastAsia="zh-CN"/>
                    </w:rPr>
                  </w:pPr>
                  <w:r w:rsidRPr="005F492B">
                    <w:rPr>
                      <w:rFonts w:ascii="Times New Roman" w:eastAsia="等线" w:hAnsi="Times New Roman" w:cs="Times New Roman"/>
                      <w:b/>
                      <w:bCs/>
                      <w:sz w:val="20"/>
                      <w:szCs w:val="20"/>
                      <w:highlight w:val="green"/>
                      <w:lang w:val="en-US" w:eastAsia="zh-CN"/>
                    </w:rPr>
                    <w:t>Agreement</w:t>
                  </w:r>
                </w:p>
                <w:p w14:paraId="2A5B803B" w14:textId="77777777" w:rsidR="005F492B" w:rsidRPr="005F492B" w:rsidRDefault="005F492B" w:rsidP="005F492B">
                  <w:pPr>
                    <w:rPr>
                      <w:rFonts w:ascii="Times New Roman" w:hAnsi="Times New Roman" w:cs="Times New Roman"/>
                      <w:sz w:val="20"/>
                      <w:szCs w:val="20"/>
                      <w:lang w:val="en-US" w:eastAsia="zh-CN"/>
                    </w:rPr>
                  </w:pPr>
                  <w:r w:rsidRPr="005F492B">
                    <w:rPr>
                      <w:rFonts w:ascii="Times New Roman" w:eastAsia="Batang" w:hAnsi="Times New Roman" w:cs="Times New Roman"/>
                      <w:sz w:val="20"/>
                      <w:szCs w:val="20"/>
                      <w:lang w:val="en-US" w:eastAsia="zh-CN"/>
                    </w:rPr>
                    <w:t>For the determination of UL timing to transmit SRS for positioning by UEs in RRC_INACTIVE state within the SRS positioning validity area</w:t>
                  </w:r>
                  <w:r w:rsidRPr="005F492B">
                    <w:rPr>
                      <w:rFonts w:ascii="Times New Roman" w:hAnsi="Times New Roman" w:cs="Times New Roman"/>
                      <w:sz w:val="20"/>
                      <w:szCs w:val="20"/>
                      <w:lang w:val="en-US" w:eastAsia="zh-CN"/>
                    </w:rPr>
                    <w:t>, support the following to determine a valid TA:</w:t>
                  </w:r>
                </w:p>
                <w:p w14:paraId="13531A33" w14:textId="77777777" w:rsidR="005F492B" w:rsidRPr="005F492B" w:rsidRDefault="005F492B" w:rsidP="005F492B">
                  <w:pPr>
                    <w:numPr>
                      <w:ilvl w:val="0"/>
                      <w:numId w:val="44"/>
                    </w:numPr>
                    <w:spacing w:after="0" w:line="240" w:lineRule="auto"/>
                    <w:rPr>
                      <w:rFonts w:ascii="Times New Roman" w:hAnsi="Times New Roman" w:cs="Times New Roman"/>
                      <w:sz w:val="20"/>
                      <w:szCs w:val="20"/>
                      <w:lang w:eastAsia="zh-CN"/>
                    </w:rPr>
                  </w:pPr>
                  <w:r w:rsidRPr="005F492B">
                    <w:rPr>
                      <w:rFonts w:ascii="Times New Roman" w:hAnsi="Times New Roman" w:cs="Times New Roman"/>
                      <w:sz w:val="20"/>
                      <w:szCs w:val="20"/>
                      <w:lang w:eastAsia="zh-CN"/>
                    </w:rPr>
                    <w:t>By default, UE maintains the TA from the last serving cell.</w:t>
                  </w:r>
                </w:p>
                <w:p w14:paraId="7620C3EE" w14:textId="77777777" w:rsidR="005F492B" w:rsidRPr="005F492B" w:rsidRDefault="005F492B" w:rsidP="005F492B">
                  <w:pPr>
                    <w:numPr>
                      <w:ilvl w:val="1"/>
                      <w:numId w:val="44"/>
                    </w:numPr>
                    <w:spacing w:after="0" w:line="240" w:lineRule="auto"/>
                    <w:rPr>
                      <w:rFonts w:ascii="Times New Roman" w:hAnsi="Times New Roman" w:cs="Times New Roman"/>
                      <w:sz w:val="20"/>
                      <w:szCs w:val="20"/>
                      <w:lang w:eastAsia="zh-CN"/>
                    </w:rPr>
                  </w:pPr>
                  <w:r w:rsidRPr="005F492B">
                    <w:rPr>
                      <w:rFonts w:ascii="Times New Roman" w:hAnsi="Times New Roman" w:cs="Times New Roman"/>
                      <w:sz w:val="20"/>
                      <w:szCs w:val="20"/>
                      <w:lang w:eastAsia="zh-CN"/>
                    </w:rPr>
                    <w:t>UE can adjust its UL timing according to the change in DL reference timing.</w:t>
                  </w:r>
                </w:p>
                <w:p w14:paraId="62098482" w14:textId="77777777" w:rsidR="005F492B" w:rsidRPr="005F492B" w:rsidRDefault="005F492B" w:rsidP="005F492B">
                  <w:pPr>
                    <w:numPr>
                      <w:ilvl w:val="0"/>
                      <w:numId w:val="44"/>
                    </w:numPr>
                    <w:spacing w:after="0" w:line="240" w:lineRule="auto"/>
                    <w:rPr>
                      <w:rFonts w:ascii="Times New Roman" w:hAnsi="Times New Roman" w:cs="Times New Roman"/>
                      <w:sz w:val="20"/>
                      <w:szCs w:val="20"/>
                      <w:lang w:eastAsia="zh-CN"/>
                    </w:rPr>
                  </w:pPr>
                  <w:r w:rsidRPr="005F492B">
                    <w:rPr>
                      <w:rFonts w:ascii="Times New Roman" w:hAnsi="Times New Roman" w:cs="Times New Roman"/>
                      <w:sz w:val="20"/>
                      <w:szCs w:val="20"/>
                      <w:lang w:eastAsia="zh-CN"/>
                    </w:rPr>
                    <w:t>If configured by the network, subject to UE capability, UE autonomously adjusts the TA, when cell-reselection happens.</w:t>
                  </w:r>
                </w:p>
                <w:p w14:paraId="222D6398" w14:textId="77777777" w:rsidR="005F492B" w:rsidRPr="005F492B" w:rsidRDefault="005F492B" w:rsidP="005F492B">
                  <w:pPr>
                    <w:numPr>
                      <w:ilvl w:val="1"/>
                      <w:numId w:val="44"/>
                    </w:numPr>
                    <w:spacing w:after="0" w:line="240" w:lineRule="auto"/>
                    <w:rPr>
                      <w:rFonts w:ascii="Times New Roman" w:hAnsi="Times New Roman" w:cs="Times New Roman"/>
                      <w:sz w:val="20"/>
                      <w:szCs w:val="20"/>
                      <w:lang w:eastAsia="zh-CN"/>
                    </w:rPr>
                  </w:pPr>
                  <w:r w:rsidRPr="005F492B">
                    <w:rPr>
                      <w:rFonts w:ascii="Times New Roman" w:hAnsi="Times New Roman" w:cs="Times New Roman"/>
                      <w:sz w:val="20"/>
                      <w:szCs w:val="20"/>
                      <w:lang w:eastAsia="zh-CN"/>
                    </w:rPr>
                    <w:t>Send LS to RAN4 asking the feasibility and necessary conditions (e.g., whether the above behaviour applies when the DL reference timing difference between the last camping cell and current camping cell exceeds a threshold and how UE adjusts it, or additional RRM procedure to obtain the timing difference needs to be defined.)</w:t>
                  </w:r>
                </w:p>
                <w:p w14:paraId="42527511" w14:textId="77777777" w:rsidR="005F492B" w:rsidRPr="005F492B" w:rsidRDefault="005F492B" w:rsidP="005F492B">
                  <w:pPr>
                    <w:numPr>
                      <w:ilvl w:val="0"/>
                      <w:numId w:val="44"/>
                    </w:numPr>
                    <w:spacing w:after="0" w:line="240" w:lineRule="auto"/>
                    <w:rPr>
                      <w:rFonts w:ascii="Times New Roman" w:hAnsi="Times New Roman" w:cs="Times New Roman"/>
                      <w:sz w:val="20"/>
                      <w:szCs w:val="20"/>
                      <w:lang w:val="en-US"/>
                    </w:rPr>
                  </w:pPr>
                  <w:r w:rsidRPr="005F492B">
                    <w:rPr>
                      <w:rFonts w:ascii="Times New Roman" w:hAnsi="Times New Roman" w:cs="Times New Roman"/>
                      <w:sz w:val="20"/>
                      <w:szCs w:val="20"/>
                      <w:lang w:eastAsia="zh-CN"/>
                    </w:rPr>
                    <w:t>The DL reference timing follows the DL timing of current camping cell.</w:t>
                  </w:r>
                </w:p>
              </w:tc>
            </w:tr>
          </w:tbl>
          <w:p w14:paraId="76AED8B5" w14:textId="77777777" w:rsidR="005F492B" w:rsidRPr="005F492B" w:rsidRDefault="005F492B" w:rsidP="005F492B">
            <w:pPr>
              <w:pStyle w:val="Doc-text2"/>
              <w:spacing w:before="120"/>
              <w:ind w:left="0" w:firstLine="0"/>
              <w:rPr>
                <w:rFonts w:ascii="Times New Roman" w:hAnsi="Times New Roman" w:cs="Times New Roman"/>
                <w:sz w:val="20"/>
                <w:szCs w:val="20"/>
                <w:lang w:val="en-CA"/>
              </w:rPr>
            </w:pPr>
          </w:p>
          <w:p w14:paraId="2CBC9D5A" w14:textId="77777777" w:rsidR="005F492B" w:rsidRPr="005F492B" w:rsidRDefault="005F492B" w:rsidP="005F492B">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Times New Roman" w:eastAsia="Times New Roman" w:hAnsi="Times New Roman" w:cs="Times New Roman"/>
                <w:sz w:val="20"/>
                <w:szCs w:val="20"/>
                <w:lang w:eastAsia="en-GB"/>
              </w:rPr>
            </w:pPr>
            <w:r w:rsidRPr="005F492B">
              <w:rPr>
                <w:rFonts w:ascii="Times New Roman" w:eastAsia="Times New Roman" w:hAnsi="Times New Roman" w:cs="Times New Roman"/>
                <w:sz w:val="20"/>
                <w:szCs w:val="20"/>
                <w:lang w:eastAsia="en-GB"/>
              </w:rPr>
              <w:t>2. Actions:</w:t>
            </w:r>
          </w:p>
          <w:p w14:paraId="5AED5A70" w14:textId="77777777" w:rsidR="005F492B" w:rsidRPr="005F492B" w:rsidRDefault="005F492B" w:rsidP="005F492B">
            <w:pPr>
              <w:rPr>
                <w:rFonts w:ascii="Times New Roman" w:hAnsi="Times New Roman" w:cs="Times New Roman"/>
                <w:sz w:val="20"/>
                <w:szCs w:val="20"/>
              </w:rPr>
            </w:pPr>
            <w:r w:rsidRPr="005F492B">
              <w:rPr>
                <w:rFonts w:ascii="Times New Roman" w:hAnsi="Times New Roman" w:cs="Times New Roman"/>
                <w:b/>
                <w:bCs/>
                <w:sz w:val="20"/>
                <w:szCs w:val="20"/>
                <w:lang w:val="en-US" w:eastAsia="zh-CN"/>
              </w:rPr>
              <w:t>To RAN4:</w:t>
            </w:r>
          </w:p>
          <w:p w14:paraId="3B61FD08" w14:textId="707F342A" w:rsidR="005F492B" w:rsidRPr="005F492B" w:rsidRDefault="005F492B" w:rsidP="005F492B">
            <w:pPr>
              <w:spacing w:before="120"/>
              <w:rPr>
                <w:rFonts w:ascii="Times New Roman" w:eastAsiaTheme="minorEastAsia" w:hAnsi="Times New Roman" w:cs="Times New Roman"/>
                <w:sz w:val="20"/>
                <w:szCs w:val="20"/>
                <w:lang w:eastAsia="zh-CN"/>
              </w:rPr>
            </w:pPr>
            <w:r w:rsidRPr="005F492B">
              <w:rPr>
                <w:rFonts w:ascii="Times New Roman" w:hAnsi="Times New Roman" w:cs="Times New Roman"/>
                <w:b/>
                <w:bCs/>
                <w:sz w:val="20"/>
                <w:szCs w:val="20"/>
              </w:rPr>
              <w:t>ACTION:</w:t>
            </w:r>
            <w:r w:rsidRPr="005F492B">
              <w:rPr>
                <w:rFonts w:ascii="Times New Roman" w:hAnsi="Times New Roman" w:cs="Times New Roman"/>
                <w:sz w:val="20"/>
                <w:szCs w:val="20"/>
              </w:rPr>
              <w:t xml:space="preserve"> RAN1 respectfully asks RAN4 on the </w:t>
            </w:r>
            <w:r w:rsidRPr="00AD3EC3">
              <w:rPr>
                <w:rFonts w:ascii="Times New Roman" w:hAnsi="Times New Roman" w:cs="Times New Roman"/>
                <w:color w:val="FF0000"/>
                <w:sz w:val="20"/>
                <w:szCs w:val="20"/>
              </w:rPr>
              <w:t xml:space="preserve">feasibility </w:t>
            </w:r>
            <w:r w:rsidRPr="005F492B">
              <w:rPr>
                <w:rFonts w:ascii="Times New Roman" w:hAnsi="Times New Roman" w:cs="Times New Roman"/>
                <w:sz w:val="20"/>
                <w:szCs w:val="20"/>
              </w:rPr>
              <w:t xml:space="preserve">and </w:t>
            </w:r>
            <w:r w:rsidRPr="00AD3EC3">
              <w:rPr>
                <w:rFonts w:ascii="Times New Roman" w:hAnsi="Times New Roman" w:cs="Times New Roman"/>
                <w:color w:val="FF0000"/>
                <w:sz w:val="20"/>
                <w:szCs w:val="20"/>
              </w:rPr>
              <w:t xml:space="preserve">necessary conditions </w:t>
            </w:r>
            <w:r w:rsidRPr="005F492B">
              <w:rPr>
                <w:rFonts w:ascii="Times New Roman" w:hAnsi="Times New Roman" w:cs="Times New Roman"/>
                <w:sz w:val="20"/>
                <w:szCs w:val="20"/>
              </w:rPr>
              <w:t>on</w:t>
            </w:r>
            <w:r w:rsidRPr="005F492B">
              <w:rPr>
                <w:rFonts w:ascii="Times New Roman" w:hAnsi="Times New Roman" w:cs="Times New Roman"/>
                <w:sz w:val="20"/>
                <w:szCs w:val="20"/>
                <w:lang w:eastAsia="zh-CN"/>
              </w:rPr>
              <w:t xml:space="preserve"> the UE autonomous TA adjustment when cell-reselection happens, e.g</w:t>
            </w:r>
            <w:r w:rsidRPr="00AD3EC3">
              <w:rPr>
                <w:rFonts w:ascii="Times New Roman" w:hAnsi="Times New Roman" w:cs="Times New Roman"/>
                <w:color w:val="FF0000"/>
                <w:sz w:val="20"/>
                <w:szCs w:val="20"/>
                <w:lang w:eastAsia="zh-CN"/>
              </w:rPr>
              <w:t xml:space="preserve">., whether the autonomous TA adjustment applies when the DL reference timing difference between the last camping cell and current camping cell exceeds a threshold </w:t>
            </w:r>
            <w:r w:rsidRPr="005F492B">
              <w:rPr>
                <w:rFonts w:ascii="Times New Roman" w:hAnsi="Times New Roman" w:cs="Times New Roman"/>
                <w:sz w:val="20"/>
                <w:szCs w:val="20"/>
                <w:lang w:eastAsia="zh-CN"/>
              </w:rPr>
              <w:t xml:space="preserve">and </w:t>
            </w:r>
            <w:r w:rsidRPr="00AD3EC3">
              <w:rPr>
                <w:rFonts w:ascii="Times New Roman" w:hAnsi="Times New Roman" w:cs="Times New Roman"/>
                <w:color w:val="FF0000"/>
                <w:sz w:val="20"/>
                <w:szCs w:val="20"/>
                <w:lang w:eastAsia="zh-CN"/>
              </w:rPr>
              <w:t>how UE adjusts it,</w:t>
            </w:r>
            <w:r w:rsidRPr="005F492B">
              <w:rPr>
                <w:rFonts w:ascii="Times New Roman" w:hAnsi="Times New Roman" w:cs="Times New Roman"/>
                <w:sz w:val="20"/>
                <w:szCs w:val="20"/>
                <w:lang w:eastAsia="zh-CN"/>
              </w:rPr>
              <w:t xml:space="preserve"> or additional RRM procedure to obtain the timing difference needs to be defined.</w:t>
            </w:r>
          </w:p>
        </w:tc>
      </w:tr>
      <w:tr w:rsidR="00D93777" w14:paraId="31E997F2" w14:textId="77777777" w:rsidTr="00D93777">
        <w:tc>
          <w:tcPr>
            <w:tcW w:w="9629" w:type="dxa"/>
          </w:tcPr>
          <w:p w14:paraId="76848B27" w14:textId="77777777" w:rsidR="00D93777" w:rsidRPr="00D93777" w:rsidRDefault="00D93777" w:rsidP="00D93777">
            <w:pPr>
              <w:pStyle w:val="40"/>
              <w:outlineLvl w:val="3"/>
              <w:rPr>
                <w:rFonts w:ascii="Times New Roman" w:hAnsi="Times New Roman"/>
                <w:noProof/>
                <w:sz w:val="20"/>
                <w:szCs w:val="20"/>
                <w:lang w:val="en-US" w:eastAsia="zh-CN"/>
              </w:rPr>
            </w:pPr>
            <w:r w:rsidRPr="00D93777">
              <w:rPr>
                <w:rFonts w:ascii="Times New Roman" w:hAnsi="Times New Roman"/>
                <w:sz w:val="20"/>
                <w:szCs w:val="20"/>
              </w:rPr>
              <w:t>7.1.2.3</w:t>
            </w:r>
            <w:r w:rsidRPr="00D93777">
              <w:rPr>
                <w:rFonts w:ascii="Times New Roman" w:hAnsi="Times New Roman"/>
                <w:sz w:val="20"/>
                <w:szCs w:val="20"/>
              </w:rPr>
              <w:tab/>
              <w:t>One shot large UL timing adjustment for FR2 Power Class 6 UE</w:t>
            </w:r>
          </w:p>
          <w:p w14:paraId="55DB4CE1" w14:textId="77777777" w:rsidR="00D93777" w:rsidRPr="00D93777" w:rsidRDefault="00D93777" w:rsidP="00D93777">
            <w:pPr>
              <w:rPr>
                <w:rFonts w:ascii="Times New Roman" w:eastAsiaTheme="minorEastAsia" w:hAnsi="Times New Roman" w:cs="Times New Roman"/>
                <w:noProof/>
                <w:color w:val="000000" w:themeColor="text1"/>
                <w:sz w:val="20"/>
                <w:szCs w:val="20"/>
              </w:rPr>
            </w:pPr>
            <w:r w:rsidRPr="00D93777">
              <w:rPr>
                <w:rFonts w:ascii="Times New Roman" w:eastAsiaTheme="minorEastAsia" w:hAnsi="Times New Roman" w:cs="Times New Roman"/>
                <w:color w:val="000000" w:themeColor="text1"/>
                <w:sz w:val="20"/>
                <w:szCs w:val="20"/>
              </w:rPr>
              <w:t xml:space="preserve">When </w:t>
            </w:r>
            <w:r w:rsidRPr="00D93777">
              <w:rPr>
                <w:rFonts w:ascii="Times New Roman" w:eastAsiaTheme="minorEastAsia" w:hAnsi="Times New Roman" w:cs="Times New Roman"/>
                <w:i/>
                <w:iCs/>
                <w:color w:val="000000" w:themeColor="text1"/>
                <w:sz w:val="20"/>
                <w:szCs w:val="20"/>
                <w:lang w:val="en-US"/>
              </w:rPr>
              <w:t>highSpeedMeasFlagFR2-r17</w:t>
            </w:r>
            <w:r w:rsidRPr="00D93777">
              <w:rPr>
                <w:rFonts w:ascii="Times New Roman" w:eastAsiaTheme="minorEastAsia" w:hAnsi="Times New Roman" w:cs="Times New Roman"/>
                <w:color w:val="000000" w:themeColor="text1"/>
                <w:sz w:val="20"/>
                <w:szCs w:val="20"/>
                <w:lang w:val="en-US"/>
              </w:rPr>
              <w:t xml:space="preserve"> is configured and </w:t>
            </w:r>
            <w:r w:rsidRPr="00D93777">
              <w:rPr>
                <w:rFonts w:ascii="Times New Roman" w:eastAsiaTheme="minorEastAsia" w:hAnsi="Times New Roman" w:cs="Times New Roman"/>
                <w:i/>
                <w:iCs/>
                <w:color w:val="000000" w:themeColor="text1"/>
                <w:sz w:val="20"/>
                <w:szCs w:val="20"/>
                <w:lang w:val="en-US"/>
              </w:rPr>
              <w:t xml:space="preserve">highSpeedLargeOneStepUL-TimingFR2-r17 </w:t>
            </w:r>
            <w:r w:rsidRPr="00D93777">
              <w:rPr>
                <w:rFonts w:ascii="Times New Roman" w:eastAsiaTheme="minorEastAsia" w:hAnsi="Times New Roman" w:cs="Times New Roman"/>
                <w:color w:val="000000" w:themeColor="text1"/>
                <w:sz w:val="20"/>
                <w:szCs w:val="20"/>
              </w:rPr>
              <w:t>is enabled for UE supporting FR2 power class 6</w:t>
            </w:r>
            <w:r w:rsidRPr="00D93777">
              <w:rPr>
                <w:rFonts w:ascii="Times New Roman" w:eastAsiaTheme="minorEastAsia" w:hAnsi="Times New Roman" w:cs="Times New Roman"/>
                <w:noProof/>
                <w:color w:val="000000" w:themeColor="text1"/>
                <w:sz w:val="20"/>
                <w:szCs w:val="20"/>
              </w:rPr>
              <w:t xml:space="preserve"> and [</w:t>
            </w:r>
            <w:r w:rsidRPr="00D93777">
              <w:rPr>
                <w:rFonts w:ascii="Times New Roman" w:eastAsiaTheme="minorEastAsia" w:hAnsi="Times New Roman" w:cs="Times New Roman"/>
                <w:i/>
                <w:iCs/>
                <w:noProof/>
                <w:color w:val="000000" w:themeColor="text1"/>
                <w:sz w:val="20"/>
                <w:szCs w:val="20"/>
              </w:rPr>
              <w:t>largeOneStepUL-timingFR2-r17</w:t>
            </w:r>
            <w:r w:rsidRPr="00D93777">
              <w:rPr>
                <w:rFonts w:ascii="Times New Roman" w:eastAsiaTheme="minorEastAsia" w:hAnsi="Times New Roman" w:cs="Times New Roman"/>
                <w:noProof/>
                <w:color w:val="000000" w:themeColor="text1"/>
                <w:sz w:val="20"/>
                <w:szCs w:val="20"/>
              </w:rPr>
              <w:t>] capability, the following requirements apply to the UE:</w:t>
            </w:r>
          </w:p>
          <w:p w14:paraId="59213B5D" w14:textId="77777777" w:rsidR="00D93777" w:rsidRPr="00D93777" w:rsidRDefault="00D93777" w:rsidP="00D93777">
            <w:pPr>
              <w:pStyle w:val="B1"/>
              <w:rPr>
                <w:strike/>
                <w:sz w:val="20"/>
                <w:szCs w:val="20"/>
              </w:rPr>
            </w:pPr>
            <w:r w:rsidRPr="00D93777">
              <w:rPr>
                <w:sz w:val="20"/>
                <w:szCs w:val="20"/>
              </w:rPr>
              <w:t>-</w:t>
            </w:r>
            <w:r w:rsidRPr="00D93777">
              <w:rPr>
                <w:sz w:val="20"/>
                <w:szCs w:val="20"/>
              </w:rPr>
              <w:tab/>
              <w:t xml:space="preserve">If the absolute value </w:t>
            </w:r>
            <m:oMath>
              <m:d>
                <m:dPr>
                  <m:begChr m:val="|"/>
                  <m:endChr m:val="|"/>
                  <m:ctrlPr>
                    <w:rPr>
                      <w:rFonts w:ascii="Cambria Math" w:hAnsi="Cambria Math"/>
                      <w:i/>
                      <w:sz w:val="20"/>
                      <w:szCs w:val="20"/>
                    </w:rPr>
                  </m:ctrlPr>
                </m:d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e>
              </m:d>
              <m:r>
                <w:rPr>
                  <w:rFonts w:ascii="Cambria Math" w:hAnsi="Cambria Math"/>
                  <w:sz w:val="20"/>
                  <w:szCs w:val="20"/>
                </w:rPr>
                <m:t>≤CP/4</m:t>
              </m:r>
            </m:oMath>
            <w:r w:rsidRPr="00D93777">
              <w:rPr>
                <w:sz w:val="20"/>
                <w:szCs w:val="20"/>
              </w:rPr>
              <w:t>, the requirement in clause 7.1.2.1 apply to the first UL transmission after a TCI state switch.</w:t>
            </w:r>
          </w:p>
          <w:p w14:paraId="6AEF40A4" w14:textId="77777777" w:rsidR="00D93777" w:rsidRPr="00D93777" w:rsidRDefault="00D93777" w:rsidP="00D93777">
            <w:pPr>
              <w:pStyle w:val="B1"/>
              <w:rPr>
                <w:strike/>
                <w:sz w:val="20"/>
                <w:szCs w:val="20"/>
                <w:lang w:val="en-US"/>
              </w:rPr>
            </w:pPr>
            <w:r w:rsidRPr="00D93777">
              <w:rPr>
                <w:rFonts w:cs="v4.2.0"/>
                <w:sz w:val="20"/>
                <w:szCs w:val="20"/>
              </w:rPr>
              <w:t>-</w:t>
            </w:r>
            <w:r w:rsidRPr="00D93777">
              <w:rPr>
                <w:rFonts w:cs="v4.2.0"/>
                <w:sz w:val="20"/>
                <w:szCs w:val="20"/>
              </w:rPr>
              <w:tab/>
            </w:r>
            <w:r w:rsidRPr="00D93777">
              <w:rPr>
                <w:rFonts w:cs="v4.2.0"/>
                <w:sz w:val="20"/>
                <w:szCs w:val="20"/>
                <w:lang w:val="en-US"/>
              </w:rPr>
              <w:t xml:space="preserve">Otherwise, </w:t>
            </w:r>
            <w:r w:rsidRPr="00D93777">
              <w:rPr>
                <w:rFonts w:cs="v4.2.0"/>
                <w:sz w:val="20"/>
                <w:szCs w:val="20"/>
              </w:rPr>
              <w:t>the UE transmit timing immediately after TCI state switch shall be</w:t>
            </w:r>
            <w:r w:rsidRPr="00D93777">
              <w:rPr>
                <w:rFonts w:cs="v4.2.0"/>
                <w:sz w:val="20"/>
                <w:szCs w:val="20"/>
                <w:lang w:val="en-US"/>
              </w:rPr>
              <w:t xml:space="preserve">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N</m:t>
                  </m:r>
                </m:e>
                <m:sub>
                  <m:r>
                    <w:rPr>
                      <w:rFonts w:ascii="Cambria Math" w:hAnsi="Cambria Math" w:cs="v4.2.0"/>
                      <w:sz w:val="20"/>
                      <w:szCs w:val="20"/>
                      <w:lang w:val="en-US"/>
                    </w:rPr>
                    <m:t>TA offset</m:t>
                  </m:r>
                </m:sub>
              </m:sSub>
              <m:r>
                <w:rPr>
                  <w:rFonts w:ascii="Cambria Math" w:hAnsi="Cambria Math" w:cs="v4.2.0"/>
                  <w:sz w:val="20"/>
                  <w:szCs w:val="20"/>
                  <w:lang w:val="en-US"/>
                </w:rPr>
                <m:t>)+2</m:t>
              </m:r>
              <m:r>
                <w:rPr>
                  <w:rFonts w:ascii="Cambria Math" w:hAnsi="Cambria Math" w:cs="v4.2.0"/>
                  <w:i/>
                  <w:sz w:val="20"/>
                  <w:szCs w:val="20"/>
                  <w:lang w:val="en-US"/>
                </w:rPr>
                <w:sym w:font="Symbol" w:char="F0B4"/>
              </m:r>
              <m:r>
                <w:rPr>
                  <w:rFonts w:ascii="Cambria Math" w:hAnsi="Cambria Math" w:cs="v4.2.0"/>
                  <w:sz w:val="20"/>
                  <w:szCs w:val="20"/>
                  <w:lang w:val="en-US"/>
                </w:rPr>
                <m:t xml:space="preserve"> (</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old</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new</m:t>
                  </m:r>
                </m:sub>
              </m:sSub>
              <m:r>
                <w:rPr>
                  <w:rFonts w:ascii="Cambria Math" w:hAnsi="Cambria Math" w:cs="v4.2.0"/>
                  <w:sz w:val="20"/>
                  <w:szCs w:val="20"/>
                  <w:lang w:val="en-US"/>
                </w:rPr>
                <m:t>)</m:t>
              </m:r>
            </m:oMath>
            <w:r w:rsidRPr="00D93777">
              <w:rPr>
                <w:rFonts w:cs="v4.2.0"/>
                <w:sz w:val="20"/>
                <w:szCs w:val="20"/>
                <w:lang w:val="en-US"/>
              </w:rPr>
              <w:t xml:space="preserve"> and </w:t>
            </w:r>
            <w:r w:rsidRPr="00D93777">
              <w:rPr>
                <w:sz w:val="20"/>
                <w:szCs w:val="20"/>
                <w:lang w:val="en-US"/>
              </w:rPr>
              <w:t>clause 7.1.2.1 requirements don’t apply.</w:t>
            </w:r>
          </w:p>
          <w:p w14:paraId="778FB5F5" w14:textId="77777777" w:rsidR="00D93777" w:rsidRPr="00D93777" w:rsidRDefault="00D93777" w:rsidP="00D93777">
            <w:pPr>
              <w:pStyle w:val="B1"/>
              <w:ind w:left="852"/>
              <w:rPr>
                <w:sz w:val="20"/>
                <w:szCs w:val="20"/>
                <w:lang w:val="en-US"/>
              </w:rPr>
            </w:pPr>
            <w:r w:rsidRPr="00D93777">
              <w:rPr>
                <w:sz w:val="20"/>
                <w:szCs w:val="20"/>
              </w:rPr>
              <w:t>-</w:t>
            </w:r>
            <w:r w:rsidRPr="00D93777">
              <w:rPr>
                <w:sz w:val="20"/>
                <w:szCs w:val="20"/>
              </w:rPr>
              <w:tab/>
              <w:t>The UE UL transmission timing error after the TCI state switching procedure shall be less than or equal to ±T</w:t>
            </w:r>
            <w:r w:rsidRPr="00D93777">
              <w:rPr>
                <w:sz w:val="20"/>
                <w:szCs w:val="20"/>
                <w:vertAlign w:val="subscript"/>
              </w:rPr>
              <w:t>e</w:t>
            </w:r>
            <w:r w:rsidRPr="00D93777">
              <w:rPr>
                <w:sz w:val="20"/>
                <w:szCs w:val="20"/>
              </w:rPr>
              <w:t xml:space="preserve"> as specified in clause 7.1.2 if the new target TCI state is within active TCI state list, otherwise ±7*64*T</w:t>
            </w:r>
            <w:r w:rsidRPr="00D93777">
              <w:rPr>
                <w:sz w:val="20"/>
                <w:szCs w:val="20"/>
                <w:vertAlign w:val="subscript"/>
              </w:rPr>
              <w:t>c</w:t>
            </w:r>
            <w:r w:rsidRPr="00D93777">
              <w:rPr>
                <w:sz w:val="20"/>
                <w:szCs w:val="20"/>
              </w:rPr>
              <w:t xml:space="preserve">, and the reference point is </w:t>
            </w:r>
            <m:oMath>
              <m:sSub>
                <m:sSubPr>
                  <m:ctrlPr>
                    <w:rPr>
                      <w:rFonts w:ascii="Cambria Math" w:hAnsi="Cambria Math" w:cs="v4.2.0"/>
                      <w:i/>
                      <w:sz w:val="20"/>
                      <w:szCs w:val="20"/>
                    </w:rPr>
                  </m:ctrlPr>
                </m:sSubPr>
                <m:e>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-(N</m:t>
                  </m:r>
                </m:e>
                <m:sub>
                  <m:r>
                    <w:rPr>
                      <w:rFonts w:ascii="Cambria Math" w:hAnsi="Cambria Math" w:cs="v4.2.0"/>
                      <w:sz w:val="20"/>
                      <w:szCs w:val="20"/>
                    </w:rPr>
                    <m:t>TA</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N</m:t>
                  </m:r>
                </m:e>
                <m:sub>
                  <m:r>
                    <w:rPr>
                      <w:rFonts w:ascii="Cambria Math" w:hAnsi="Cambria Math" w:cs="v4.2.0"/>
                      <w:sz w:val="20"/>
                      <w:szCs w:val="20"/>
                    </w:rPr>
                    <m:t>TA offset</m:t>
                  </m:r>
                </m:sub>
              </m:sSub>
              <m:r>
                <w:rPr>
                  <w:rFonts w:ascii="Cambria Math" w:hAnsi="Cambria Math" w:cs="v4.2.0"/>
                  <w:sz w:val="20"/>
                  <w:szCs w:val="20"/>
                </w:rPr>
                <m:t>)+2</m:t>
              </m:r>
              <m:r>
                <w:rPr>
                  <w:rFonts w:ascii="Cambria Math" w:hAnsi="Cambria Math" w:cs="v4.2.0"/>
                  <w:i/>
                  <w:sz w:val="20"/>
                  <w:szCs w:val="20"/>
                </w:rPr>
                <w:sym w:font="Symbol" w:char="F0B4"/>
              </m:r>
              <m:r>
                <w:rPr>
                  <w:rFonts w:ascii="Cambria Math" w:hAnsi="Cambria Math" w:cs="v4.2.0"/>
                  <w:sz w:val="20"/>
                  <w:szCs w:val="20"/>
                </w:rPr>
                <m:t xml:space="preserve"> (</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old</m:t>
                  </m:r>
                </m:sub>
              </m:sSub>
              <m:r>
                <w:rPr>
                  <w:rFonts w:ascii="Cambria Math" w:hAnsi="Cambria Math" w:cs="v4.2.0"/>
                  <w:sz w:val="20"/>
                  <w:szCs w:val="20"/>
                </w:rPr>
                <m:t>-</m:t>
              </m:r>
              <m:sSub>
                <m:sSubPr>
                  <m:ctrlPr>
                    <w:rPr>
                      <w:rFonts w:ascii="Cambria Math" w:hAnsi="Cambria Math" w:cs="v4.2.0"/>
                      <w:i/>
                      <w:sz w:val="20"/>
                      <w:szCs w:val="20"/>
                    </w:rPr>
                  </m:ctrlPr>
                </m:sSubPr>
                <m:e>
                  <m:r>
                    <w:rPr>
                      <w:rFonts w:ascii="Cambria Math" w:hAnsi="Cambria Math" w:cs="v4.2.0"/>
                      <w:sz w:val="20"/>
                      <w:szCs w:val="20"/>
                    </w:rPr>
                    <m:t>T</m:t>
                  </m:r>
                </m:e>
                <m:sub>
                  <m:r>
                    <w:rPr>
                      <w:rFonts w:ascii="Cambria Math" w:hAnsi="Cambria Math" w:cs="v4.2.0"/>
                      <w:sz w:val="20"/>
                      <w:szCs w:val="20"/>
                    </w:rPr>
                    <m:t>new</m:t>
                  </m:r>
                </m:sub>
              </m:sSub>
              <m:r>
                <w:rPr>
                  <w:rFonts w:ascii="Cambria Math" w:hAnsi="Cambria Math" w:cs="v4.2.0"/>
                  <w:sz w:val="20"/>
                  <w:szCs w:val="20"/>
                </w:rPr>
                <m:t>)</m:t>
              </m:r>
            </m:oMath>
            <w:r w:rsidRPr="00D93777">
              <w:rPr>
                <w:sz w:val="20"/>
                <w:szCs w:val="20"/>
              </w:rPr>
              <w:t>.</w:t>
            </w:r>
          </w:p>
          <w:p w14:paraId="5F4464E0" w14:textId="77777777" w:rsidR="00D93777" w:rsidRPr="00D93777" w:rsidRDefault="00D93777" w:rsidP="00D93777">
            <w:pPr>
              <w:pStyle w:val="B1"/>
              <w:rPr>
                <w:strike/>
                <w:sz w:val="20"/>
                <w:szCs w:val="20"/>
                <w:lang w:val="en-US"/>
              </w:rPr>
            </w:pPr>
            <w:r w:rsidRPr="00D93777">
              <w:rPr>
                <w:rFonts w:cs="v4.2.0"/>
                <w:sz w:val="20"/>
                <w:szCs w:val="20"/>
                <w:lang w:val="en-US"/>
              </w:rPr>
              <w:t>Above,</w:t>
            </w:r>
          </w:p>
          <w:p w14:paraId="5DDEBC5E" w14:textId="77777777" w:rsidR="00D93777" w:rsidRPr="00D93777" w:rsidRDefault="00D93777" w:rsidP="00D93777">
            <w:pPr>
              <w:pStyle w:val="B2"/>
              <w:rPr>
                <w:sz w:val="20"/>
                <w:szCs w:val="20"/>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new</m:t>
                  </m:r>
                </m:sub>
              </m:sSub>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is the DL timing defined as the time when UE receives downlink frame with new target TCI state.</w:t>
            </w:r>
          </w:p>
          <w:p w14:paraId="344E10DC" w14:textId="5B280711" w:rsidR="00D93777" w:rsidRPr="00D93777" w:rsidRDefault="00D93777" w:rsidP="00D93777">
            <w:pPr>
              <w:pStyle w:val="B2"/>
              <w:rPr>
                <w:lang w:val="en-US" w:eastAsia="zh-CN"/>
              </w:rPr>
            </w:pPr>
            <w:r w:rsidRPr="00D93777">
              <w:rPr>
                <w:sz w:val="20"/>
                <w:szCs w:val="20"/>
                <w:lang w:val="en-US" w:eastAsia="zh-CN"/>
              </w:rPr>
              <w:t>-</w:t>
            </w:r>
            <w:r w:rsidRPr="00D93777">
              <w:rPr>
                <w:sz w:val="20"/>
                <w:szCs w:val="20"/>
                <w:lang w:val="en-US" w:eastAsia="zh-CN"/>
              </w:rPr>
              <w:tab/>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old</m:t>
                  </m:r>
                </m:sub>
              </m:sSub>
              <m:r>
                <m:rPr>
                  <m:sty m:val="p"/>
                </m:rPr>
                <w:rPr>
                  <w:rFonts w:ascii="Cambria Math" w:hAnsi="Cambria Math"/>
                  <w:sz w:val="20"/>
                  <w:szCs w:val="20"/>
                  <w:lang w:val="en-US" w:eastAsia="zh-CN"/>
                </w:rPr>
                <m:t xml:space="preserve"> </m:t>
              </m:r>
            </m:oMath>
            <w:r w:rsidRPr="00D93777">
              <w:rPr>
                <w:sz w:val="20"/>
                <w:szCs w:val="20"/>
                <w:lang w:val="en-US" w:eastAsia="zh-CN"/>
              </w:rPr>
              <w:t xml:space="preserve"> (in </w:t>
            </w:r>
            <m:oMath>
              <m:sSub>
                <m:sSubPr>
                  <m:ctrlPr>
                    <w:rPr>
                      <w:rFonts w:ascii="Cambria Math" w:hAnsi="Cambria Math"/>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c</m:t>
                  </m:r>
                </m:sub>
              </m:sSub>
            </m:oMath>
            <w:r w:rsidRPr="00D93777">
              <w:rPr>
                <w:sz w:val="20"/>
                <w:szCs w:val="20"/>
                <w:lang w:val="en-US" w:eastAsia="zh-CN"/>
              </w:rPr>
              <w:t xml:space="preserve"> units) is the DL timing defined as the time when UE receives downlink frame with old source TCI state.</w:t>
            </w:r>
          </w:p>
        </w:tc>
      </w:tr>
    </w:tbl>
    <w:p w14:paraId="089DF47A" w14:textId="65A130FE" w:rsidR="00C76947" w:rsidRDefault="003E3DE9" w:rsidP="00AD3EC3">
      <w:pPr>
        <w:jc w:val="both"/>
        <w:rPr>
          <w:rFonts w:ascii="Times New Roman" w:eastAsiaTheme="minorEastAsia" w:hAnsi="Times New Roman" w:cs="Times New Roman"/>
          <w:b/>
          <w:lang w:val="en-GB" w:eastAsia="zh-CN"/>
        </w:rPr>
      </w:pPr>
      <w:r>
        <w:rPr>
          <w:rFonts w:ascii="Times New Roman" w:eastAsiaTheme="minorEastAsia" w:hAnsi="Times New Roman" w:cs="Times New Roman"/>
          <w:lang w:eastAsia="zh-CN"/>
        </w:rPr>
        <w:t xml:space="preserve">As shown above, </w:t>
      </w:r>
      <w:r w:rsidR="001D79B3" w:rsidRPr="001D79B3">
        <w:rPr>
          <w:rFonts w:ascii="Times New Roman" w:eastAsiaTheme="minorEastAsia" w:hAnsi="Times New Roman" w:cs="Times New Roman"/>
          <w:lang w:eastAsia="zh-CN"/>
        </w:rPr>
        <w:t>RAN1</w:t>
      </w:r>
      <w:r w:rsidR="001D79B3">
        <w:rPr>
          <w:rFonts w:ascii="Times New Roman" w:eastAsiaTheme="minorEastAsia" w:hAnsi="Times New Roman" w:cs="Times New Roman"/>
          <w:lang w:eastAsia="zh-CN"/>
        </w:rPr>
        <w:t xml:space="preserve"> sent one LS [2] to ask the feasibility and necessary conditions on UE autonomous TA adjustment </w:t>
      </w:r>
      <w:r w:rsidR="0058468B">
        <w:rPr>
          <w:rFonts w:ascii="Times New Roman" w:eastAsiaTheme="minorEastAsia" w:hAnsi="Times New Roman" w:cs="Times New Roman"/>
          <w:lang w:eastAsia="zh-CN"/>
        </w:rPr>
        <w:t xml:space="preserve">mechanism </w:t>
      </w:r>
      <w:r w:rsidR="001D79B3">
        <w:rPr>
          <w:rFonts w:ascii="Times New Roman" w:eastAsiaTheme="minorEastAsia" w:hAnsi="Times New Roman" w:cs="Times New Roman"/>
          <w:lang w:eastAsia="zh-CN"/>
        </w:rPr>
        <w:t>when cell-reselection happens.</w:t>
      </w:r>
      <w:r w:rsidR="00D93777">
        <w:rPr>
          <w:rFonts w:ascii="Times New Roman" w:eastAsiaTheme="minorEastAsia" w:hAnsi="Times New Roman" w:cs="Times New Roman"/>
          <w:lang w:eastAsia="zh-CN"/>
        </w:rPr>
        <w:t xml:space="preserve"> It is noticed that UE autonomous UL timing adjustment based on the DL timing difference between two TCI states</w:t>
      </w:r>
      <w:r w:rsidR="00D93777">
        <w:rPr>
          <w:rFonts w:ascii="Times New Roman" w:eastAsiaTheme="minorEastAsia" w:hAnsi="Times New Roman" w:cs="Times New Roman" w:hint="eastAsia"/>
          <w:lang w:eastAsia="zh-CN"/>
        </w:rPr>
        <w:t>,</w:t>
      </w:r>
      <w:r w:rsidR="00D93777">
        <w:rPr>
          <w:rFonts w:ascii="Times New Roman" w:eastAsiaTheme="minorEastAsia" w:hAnsi="Times New Roman" w:cs="Times New Roman"/>
          <w:lang w:eastAsia="zh-CN"/>
        </w:rPr>
        <w:t xml:space="preserve"> which generally related to two different RRHs, has already been supported in </w:t>
      </w:r>
      <w:r w:rsidR="00D93777">
        <w:rPr>
          <w:rFonts w:ascii="Times New Roman" w:eastAsiaTheme="minorEastAsia" w:hAnsi="Times New Roman" w:cs="Times New Roman"/>
          <w:lang w:eastAsia="zh-CN"/>
        </w:rPr>
        <w:lastRenderedPageBreak/>
        <w:t xml:space="preserve">FR2 HST scenario. </w:t>
      </w:r>
      <w:r w:rsidR="000D12B3">
        <w:rPr>
          <w:rFonts w:ascii="Times New Roman" w:eastAsiaTheme="minorEastAsia" w:hAnsi="Times New Roman" w:cs="Times New Roman"/>
          <w:lang w:eastAsia="zh-CN"/>
        </w:rPr>
        <w:t>Therefore</w:t>
      </w:r>
      <w:r w:rsidR="00AD3EC3">
        <w:rPr>
          <w:rFonts w:ascii="Times New Roman" w:eastAsiaTheme="minorEastAsia" w:hAnsi="Times New Roman" w:cs="Times New Roman"/>
          <w:lang w:eastAsia="zh-CN"/>
        </w:rPr>
        <w:t>,</w:t>
      </w:r>
      <w:r w:rsidR="000D12B3">
        <w:rPr>
          <w:rFonts w:ascii="Times New Roman" w:eastAsiaTheme="minorEastAsia" w:hAnsi="Times New Roman" w:cs="Times New Roman"/>
          <w:lang w:eastAsia="zh-CN"/>
        </w:rPr>
        <w:t xml:space="preserve"> it is feasible to support UE autonomous TA adjustment </w:t>
      </w:r>
      <w:r w:rsidR="001E6811">
        <w:rPr>
          <w:rFonts w:ascii="Times New Roman" w:eastAsiaTheme="minorEastAsia" w:hAnsi="Times New Roman" w:cs="Times New Roman"/>
          <w:lang w:eastAsia="zh-CN"/>
        </w:rPr>
        <w:t xml:space="preserve">mechanism </w:t>
      </w:r>
      <w:r w:rsidR="000D12B3">
        <w:rPr>
          <w:rFonts w:ascii="Times New Roman" w:eastAsiaTheme="minorEastAsia" w:hAnsi="Times New Roman" w:cs="Times New Roman"/>
          <w:lang w:eastAsia="zh-CN"/>
        </w:rPr>
        <w:t>for LPHAP case.</w:t>
      </w:r>
      <w:r w:rsidR="00AD3EC3">
        <w:rPr>
          <w:rFonts w:ascii="Times New Roman" w:eastAsiaTheme="minorEastAsia" w:hAnsi="Times New Roman" w:cs="Times New Roman"/>
          <w:lang w:eastAsia="zh-CN"/>
        </w:rPr>
        <w:t xml:space="preserve"> </w:t>
      </w:r>
      <w:r w:rsidR="00CF7706">
        <w:rPr>
          <w:rFonts w:ascii="Times New Roman" w:eastAsiaTheme="minorEastAsia" w:hAnsi="Times New Roman" w:cs="Times New Roman"/>
          <w:lang w:eastAsia="zh-CN"/>
        </w:rPr>
        <w:t>And t</w:t>
      </w:r>
      <w:r w:rsidR="00AD3EC3">
        <w:rPr>
          <w:rFonts w:ascii="Times New Roman" w:eastAsiaTheme="minorEastAsia" w:hAnsi="Times New Roman" w:cs="Times New Roman"/>
          <w:lang w:eastAsia="zh-CN"/>
        </w:rPr>
        <w:t xml:space="preserve">he necessary conditions and UE behavior on adjusting TA </w:t>
      </w:r>
      <w:r w:rsidR="00CF7706">
        <w:rPr>
          <w:rFonts w:ascii="Times New Roman" w:eastAsiaTheme="minorEastAsia" w:hAnsi="Times New Roman" w:cs="Times New Roman"/>
          <w:lang w:eastAsia="zh-CN"/>
        </w:rPr>
        <w:t xml:space="preserve">for FR2 HST could be used as baseline. </w:t>
      </w:r>
      <w:r w:rsidR="008C5CFC">
        <w:rPr>
          <w:rFonts w:ascii="Times New Roman" w:eastAsiaTheme="minorEastAsia" w:hAnsi="Times New Roman" w:cs="Times New Roman"/>
          <w:lang w:eastAsia="zh-CN"/>
        </w:rPr>
        <w:t>If necessary, we are also open to update the conditions such as the threshold for DL timing difference is CP/4</w:t>
      </w:r>
      <w:r w:rsidR="00E035CB">
        <w:rPr>
          <w:rFonts w:ascii="Times New Roman" w:eastAsiaTheme="minorEastAsia" w:hAnsi="Times New Roman" w:cs="Times New Roman"/>
          <w:lang w:eastAsia="zh-CN"/>
        </w:rPr>
        <w:t>.</w:t>
      </w:r>
    </w:p>
    <w:p w14:paraId="5355401D" w14:textId="726EDA08" w:rsidR="005F492B" w:rsidRDefault="005F492B" w:rsidP="0006433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sidR="00CF7706">
        <w:rPr>
          <w:rFonts w:ascii="Times New Roman" w:eastAsiaTheme="minorEastAsia" w:hAnsi="Times New Roman" w:cs="Times New Roman"/>
          <w:b/>
          <w:lang w:val="en-GB" w:eastAsia="zh-CN"/>
        </w:rPr>
        <w:t xml:space="preserve"> UE autonomous TA adjustment in case of cell-reselection is feasible, the necessary conditions and UE behaviour on adjusting TA for FR2 HST could be used as baseline</w:t>
      </w:r>
      <w:r>
        <w:rPr>
          <w:rFonts w:ascii="Times New Roman" w:eastAsiaTheme="minorEastAsia" w:hAnsi="Times New Roman" w:cs="Times New Roman"/>
          <w:b/>
          <w:lang w:val="en-GB" w:eastAsia="zh-CN"/>
        </w:rPr>
        <w:t xml:space="preserve">. </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EBB8C74" w:rsidR="007D20D2" w:rsidRDefault="00F168A9"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778CD599" w14:textId="77777777" w:rsidR="0051286D" w:rsidRPr="00D55425" w:rsidRDefault="0051286D" w:rsidP="0051286D">
      <w:pPr>
        <w:rPr>
          <w:lang w:val="en-GB" w:eastAsia="ja-JP"/>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PRS </w:t>
      </w:r>
      <w:r>
        <w:rPr>
          <w:rFonts w:ascii="Times New Roman" w:eastAsiaTheme="minorEastAsia" w:hAnsi="Times New Roman" w:cs="Times New Roman" w:hint="eastAsia"/>
          <w:b/>
          <w:lang w:val="en-GB" w:eastAsia="zh-CN"/>
        </w:rPr>
        <w:t>measurement</w:t>
      </w:r>
      <w:r>
        <w:rPr>
          <w:rFonts w:ascii="Times New Roman" w:eastAsiaTheme="minorEastAsia" w:hAnsi="Times New Roman" w:cs="Times New Roman"/>
          <w:b/>
          <w:lang w:val="en-GB" w:eastAsia="zh-CN"/>
        </w:rPr>
        <w:t>s should start within PTW.</w:t>
      </w:r>
    </w:p>
    <w:p w14:paraId="02C123B1" w14:textId="77777777" w:rsidR="00265BD3" w:rsidRDefault="00265BD3" w:rsidP="00265BD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scaling factor of existing requirements related to </w:t>
      </w:r>
      <w:proofErr w:type="spellStart"/>
      <w:r>
        <w:rPr>
          <w:rFonts w:ascii="Times New Roman" w:eastAsiaTheme="minorEastAsia" w:hAnsi="Times New Roman" w:cs="Times New Roman"/>
          <w:b/>
          <w:lang w:val="en-GB" w:eastAsia="zh-CN"/>
        </w:rPr>
        <w:t>eDRX</w:t>
      </w:r>
      <w:proofErr w:type="spellEnd"/>
      <w:r>
        <w:rPr>
          <w:rFonts w:ascii="Times New Roman" w:eastAsiaTheme="minorEastAsia" w:hAnsi="Times New Roman" w:cs="Times New Roman"/>
          <w:b/>
          <w:lang w:val="en-GB" w:eastAsia="zh-CN"/>
        </w:rPr>
        <w:t xml:space="preserve"> should be used as baseline for LPHAP</w:t>
      </w:r>
      <w:r w:rsidRPr="00B31D2A">
        <w:rPr>
          <w:rFonts w:ascii="Times New Roman" w:hAnsi="Times New Roman" w:cs="Times New Roman"/>
          <w:b/>
        </w:rPr>
        <w:t>.</w:t>
      </w:r>
      <w:r>
        <w:rPr>
          <w:rFonts w:ascii="Times New Roman" w:eastAsiaTheme="minorEastAsia" w:hAnsi="Times New Roman" w:cs="Times New Roman"/>
          <w:b/>
          <w:lang w:val="en-GB" w:eastAsia="zh-CN"/>
        </w:rPr>
        <w:t xml:space="preserve"> </w:t>
      </w:r>
    </w:p>
    <w:p w14:paraId="5C0833A0" w14:textId="1894A6B9" w:rsidR="00B915F1" w:rsidRPr="00B915F1" w:rsidRDefault="00B915F1"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UE autonomous TA adjustment in case of cell-reselection is feasible, the necessary conditions and UE behaviour on adjusting TA for FR2 HST could be used as baseline.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71A45B4C" w:rsidR="003724B2"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w:t>
      </w:r>
      <w:r w:rsidR="006F4087">
        <w:rPr>
          <w:rFonts w:ascii="Times New Roman" w:hAnsi="Times New Roman" w:cs="Times New Roman"/>
        </w:rPr>
        <w:t>4</w:t>
      </w:r>
      <w:r w:rsidRPr="00A45D97">
        <w:rPr>
          <w:rFonts w:ascii="Times New Roman" w:hAnsi="Times New Roman" w:cs="Times New Roman"/>
        </w:rPr>
        <w:t>-2</w:t>
      </w:r>
      <w:r w:rsidR="00CC19A5">
        <w:rPr>
          <w:rFonts w:ascii="Times New Roman" w:hAnsi="Times New Roman" w:cs="Times New Roman"/>
        </w:rPr>
        <w:t>3</w:t>
      </w:r>
      <w:r w:rsidR="006F4087">
        <w:rPr>
          <w:rFonts w:ascii="Times New Roman" w:hAnsi="Times New Roman" w:cs="Times New Roman"/>
        </w:rPr>
        <w:t>10074</w:t>
      </w:r>
      <w:r w:rsidR="0076780E" w:rsidRPr="00A45D97">
        <w:rPr>
          <w:rFonts w:ascii="Times New Roman" w:hAnsi="Times New Roman" w:cs="Times New Roman"/>
        </w:rPr>
        <w:t>,</w:t>
      </w:r>
      <w:r w:rsidRPr="00A45D97">
        <w:rPr>
          <w:rFonts w:ascii="Times New Roman" w:hAnsi="Times New Roman" w:cs="Times New Roman"/>
        </w:rPr>
        <w:t xml:space="preserve"> </w:t>
      </w:r>
      <w:r w:rsidR="006F4087" w:rsidRPr="006F4087">
        <w:rPr>
          <w:rFonts w:ascii="Times New Roman" w:hAnsi="Times New Roman" w:cs="Times New Roman"/>
        </w:rPr>
        <w:t>WF on NR Positioning – LPHAP</w:t>
      </w:r>
      <w:r w:rsidR="0029437A">
        <w:rPr>
          <w:rFonts w:ascii="Times New Roman" w:hAnsi="Times New Roman" w:cs="Times New Roman"/>
        </w:rPr>
        <w:t xml:space="preserve">, </w:t>
      </w:r>
      <w:r w:rsidR="000B4A49" w:rsidRPr="000B4A49">
        <w:rPr>
          <w:rFonts w:ascii="Times New Roman" w:hAnsi="Times New Roman" w:cs="Times New Roman"/>
        </w:rPr>
        <w:t xml:space="preserve">Huawei, </w:t>
      </w:r>
      <w:proofErr w:type="spellStart"/>
      <w:r w:rsidR="000B4A49" w:rsidRPr="000B4A49">
        <w:rPr>
          <w:rFonts w:ascii="Times New Roman" w:hAnsi="Times New Roman" w:cs="Times New Roman"/>
        </w:rPr>
        <w:t>HiSilicon</w:t>
      </w:r>
      <w:proofErr w:type="spellEnd"/>
    </w:p>
    <w:p w14:paraId="494F6E04" w14:textId="25CDA0D7" w:rsidR="00C76947" w:rsidRPr="00A45D97" w:rsidRDefault="00C76947"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C76947">
        <w:rPr>
          <w:rFonts w:ascii="Times New Roman" w:hAnsi="Times New Roman" w:cs="Times New Roman"/>
        </w:rPr>
        <w:t>R1-2306248</w:t>
      </w:r>
      <w:r>
        <w:rPr>
          <w:rFonts w:ascii="Times New Roman" w:hAnsi="Times New Roman" w:cs="Times New Roman"/>
        </w:rPr>
        <w:t xml:space="preserve">, </w:t>
      </w:r>
      <w:r w:rsidRPr="00C76947">
        <w:rPr>
          <w:rFonts w:ascii="Times New Roman" w:hAnsi="Times New Roman" w:cs="Times New Roman"/>
        </w:rPr>
        <w:t>LS on determination of UL timing to transmit SRS for positioning by UEs in RRC_INACTIVE states</w:t>
      </w:r>
      <w:r>
        <w:rPr>
          <w:rFonts w:ascii="Times New Roman" w:hAnsi="Times New Roman" w:cs="Times New Roman"/>
        </w:rPr>
        <w:t xml:space="preserve"> </w:t>
      </w:r>
    </w:p>
    <w:p w14:paraId="6088E30D" w14:textId="1CA01151" w:rsidR="00121BCD" w:rsidRPr="006F4087" w:rsidRDefault="00121BCD" w:rsidP="00953A81">
      <w:pPr>
        <w:spacing w:after="0" w:line="240" w:lineRule="auto"/>
        <w:rPr>
          <w:rFonts w:ascii="Times New Roman" w:eastAsia="Yu Mincho" w:hAnsi="Times New Roman" w:cs="Times New Roman"/>
          <w:sz w:val="36"/>
          <w:szCs w:val="20"/>
          <w:lang w:eastAsia="ja-JP"/>
        </w:rPr>
      </w:pPr>
    </w:p>
    <w:sectPr w:rsidR="00121BCD" w:rsidRPr="006F4087"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5ED4" w14:textId="77777777" w:rsidR="00783095" w:rsidRDefault="00783095" w:rsidP="00973137">
      <w:pPr>
        <w:spacing w:after="0" w:line="240" w:lineRule="auto"/>
      </w:pPr>
      <w:r>
        <w:separator/>
      </w:r>
    </w:p>
  </w:endnote>
  <w:endnote w:type="continuationSeparator" w:id="0">
    <w:p w14:paraId="656ED632" w14:textId="77777777" w:rsidR="00783095" w:rsidRDefault="0078309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3B9F6" w14:textId="77777777" w:rsidR="00783095" w:rsidRDefault="00783095" w:rsidP="00973137">
      <w:pPr>
        <w:spacing w:after="0" w:line="240" w:lineRule="auto"/>
      </w:pPr>
      <w:r>
        <w:separator/>
      </w:r>
    </w:p>
  </w:footnote>
  <w:footnote w:type="continuationSeparator" w:id="0">
    <w:p w14:paraId="166F3E9D" w14:textId="77777777" w:rsidR="00783095" w:rsidRDefault="0078309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4C2A6D"/>
    <w:multiLevelType w:val="hybridMultilevel"/>
    <w:tmpl w:val="970C3DC4"/>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4E4B01"/>
    <w:multiLevelType w:val="hybridMultilevel"/>
    <w:tmpl w:val="5B4C0C1E"/>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4"/>
  </w:num>
  <w:num w:numId="4">
    <w:abstractNumId w:val="13"/>
  </w:num>
  <w:num w:numId="5">
    <w:abstractNumId w:val="11"/>
  </w:num>
  <w:num w:numId="6">
    <w:abstractNumId w:val="31"/>
  </w:num>
  <w:num w:numId="7">
    <w:abstractNumId w:val="0"/>
  </w:num>
  <w:num w:numId="8">
    <w:abstractNumId w:val="40"/>
  </w:num>
  <w:num w:numId="9">
    <w:abstractNumId w:val="24"/>
  </w:num>
  <w:num w:numId="10">
    <w:abstractNumId w:val="20"/>
  </w:num>
  <w:num w:numId="11">
    <w:abstractNumId w:val="27"/>
  </w:num>
  <w:num w:numId="12">
    <w:abstractNumId w:val="28"/>
  </w:num>
  <w:num w:numId="13">
    <w:abstractNumId w:val="6"/>
  </w:num>
  <w:num w:numId="14">
    <w:abstractNumId w:val="2"/>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5"/>
  </w:num>
  <w:num w:numId="20">
    <w:abstractNumId w:val="19"/>
  </w:num>
  <w:num w:numId="21">
    <w:abstractNumId w:val="41"/>
  </w:num>
  <w:num w:numId="22">
    <w:abstractNumId w:val="8"/>
  </w:num>
  <w:num w:numId="23">
    <w:abstractNumId w:val="23"/>
  </w:num>
  <w:num w:numId="24">
    <w:abstractNumId w:val="34"/>
  </w:num>
  <w:num w:numId="25">
    <w:abstractNumId w:val="25"/>
  </w:num>
  <w:num w:numId="26">
    <w:abstractNumId w:val="39"/>
  </w:num>
  <w:num w:numId="27">
    <w:abstractNumId w:val="7"/>
  </w:num>
  <w:num w:numId="28">
    <w:abstractNumId w:val="30"/>
  </w:num>
  <w:num w:numId="29">
    <w:abstractNumId w:val="16"/>
  </w:num>
  <w:num w:numId="30">
    <w:abstractNumId w:val="35"/>
  </w:num>
  <w:num w:numId="31">
    <w:abstractNumId w:val="30"/>
  </w:num>
  <w:num w:numId="32">
    <w:abstractNumId w:val="37"/>
  </w:num>
  <w:num w:numId="33">
    <w:abstractNumId w:val="14"/>
  </w:num>
  <w:num w:numId="34">
    <w:abstractNumId w:val="36"/>
  </w:num>
  <w:num w:numId="35">
    <w:abstractNumId w:val="18"/>
  </w:num>
  <w:num w:numId="36">
    <w:abstractNumId w:val="10"/>
  </w:num>
  <w:num w:numId="37">
    <w:abstractNumId w:val="12"/>
  </w:num>
  <w:num w:numId="38">
    <w:abstractNumId w:val="9"/>
  </w:num>
  <w:num w:numId="39">
    <w:abstractNumId w:val="15"/>
  </w:num>
  <w:num w:numId="40">
    <w:abstractNumId w:val="33"/>
  </w:num>
  <w:num w:numId="41">
    <w:abstractNumId w:val="22"/>
  </w:num>
  <w:num w:numId="42">
    <w:abstractNumId w:val="1"/>
  </w:num>
  <w:num w:numId="43">
    <w:abstractNumId w:val="26"/>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150D"/>
    <w:rsid w:val="00025264"/>
    <w:rsid w:val="0002564D"/>
    <w:rsid w:val="00025B2A"/>
    <w:rsid w:val="00025ECA"/>
    <w:rsid w:val="00026136"/>
    <w:rsid w:val="0002632F"/>
    <w:rsid w:val="000277B7"/>
    <w:rsid w:val="00030552"/>
    <w:rsid w:val="000314EE"/>
    <w:rsid w:val="00031C3E"/>
    <w:rsid w:val="000325B8"/>
    <w:rsid w:val="000326DD"/>
    <w:rsid w:val="00034C15"/>
    <w:rsid w:val="00036ABA"/>
    <w:rsid w:val="00036BA1"/>
    <w:rsid w:val="00036D55"/>
    <w:rsid w:val="0004044C"/>
    <w:rsid w:val="00040814"/>
    <w:rsid w:val="000422E2"/>
    <w:rsid w:val="00042D62"/>
    <w:rsid w:val="00042EA9"/>
    <w:rsid w:val="00042F22"/>
    <w:rsid w:val="00043798"/>
    <w:rsid w:val="000444EF"/>
    <w:rsid w:val="00044958"/>
    <w:rsid w:val="00045BF0"/>
    <w:rsid w:val="00047928"/>
    <w:rsid w:val="000501B6"/>
    <w:rsid w:val="000502C3"/>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F3A"/>
    <w:rsid w:val="000606C7"/>
    <w:rsid w:val="000616E7"/>
    <w:rsid w:val="00062024"/>
    <w:rsid w:val="00062A40"/>
    <w:rsid w:val="000637AB"/>
    <w:rsid w:val="000639D8"/>
    <w:rsid w:val="0006403B"/>
    <w:rsid w:val="00064333"/>
    <w:rsid w:val="0006487E"/>
    <w:rsid w:val="0006523C"/>
    <w:rsid w:val="0006533F"/>
    <w:rsid w:val="00065E1A"/>
    <w:rsid w:val="000704EC"/>
    <w:rsid w:val="00070721"/>
    <w:rsid w:val="00070BF7"/>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FF3"/>
    <w:rsid w:val="000B1469"/>
    <w:rsid w:val="000B2426"/>
    <w:rsid w:val="000B26D7"/>
    <w:rsid w:val="000B2719"/>
    <w:rsid w:val="000B3757"/>
    <w:rsid w:val="000B3A8F"/>
    <w:rsid w:val="000B44BA"/>
    <w:rsid w:val="000B4A49"/>
    <w:rsid w:val="000B4AB9"/>
    <w:rsid w:val="000B52F1"/>
    <w:rsid w:val="000B5339"/>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22F"/>
    <w:rsid w:val="000C7DEF"/>
    <w:rsid w:val="000D088E"/>
    <w:rsid w:val="000D09D3"/>
    <w:rsid w:val="000D0D07"/>
    <w:rsid w:val="000D0D8C"/>
    <w:rsid w:val="000D0DD5"/>
    <w:rsid w:val="000D12B3"/>
    <w:rsid w:val="000D180A"/>
    <w:rsid w:val="000D1A43"/>
    <w:rsid w:val="000D1E80"/>
    <w:rsid w:val="000D26EA"/>
    <w:rsid w:val="000D3B70"/>
    <w:rsid w:val="000D404A"/>
    <w:rsid w:val="000D4797"/>
    <w:rsid w:val="000D4807"/>
    <w:rsid w:val="000D525E"/>
    <w:rsid w:val="000D5849"/>
    <w:rsid w:val="000E0527"/>
    <w:rsid w:val="000E07EB"/>
    <w:rsid w:val="000E0D84"/>
    <w:rsid w:val="000E1050"/>
    <w:rsid w:val="000E1E92"/>
    <w:rsid w:val="000E2A9B"/>
    <w:rsid w:val="000E6E52"/>
    <w:rsid w:val="000F06D6"/>
    <w:rsid w:val="000F0B54"/>
    <w:rsid w:val="000F0D25"/>
    <w:rsid w:val="000F0EB1"/>
    <w:rsid w:val="000F1106"/>
    <w:rsid w:val="000F2C72"/>
    <w:rsid w:val="000F3349"/>
    <w:rsid w:val="000F3BE9"/>
    <w:rsid w:val="000F3E3B"/>
    <w:rsid w:val="000F3F6C"/>
    <w:rsid w:val="000F47BE"/>
    <w:rsid w:val="000F4ACC"/>
    <w:rsid w:val="000F4DB1"/>
    <w:rsid w:val="000F656C"/>
    <w:rsid w:val="000F6DF3"/>
    <w:rsid w:val="000F7563"/>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A14"/>
    <w:rsid w:val="00151E23"/>
    <w:rsid w:val="001526E0"/>
    <w:rsid w:val="00153218"/>
    <w:rsid w:val="00153ACA"/>
    <w:rsid w:val="001551B5"/>
    <w:rsid w:val="001559B8"/>
    <w:rsid w:val="0015600D"/>
    <w:rsid w:val="00161117"/>
    <w:rsid w:val="001613C6"/>
    <w:rsid w:val="001619D8"/>
    <w:rsid w:val="00161E37"/>
    <w:rsid w:val="0016232C"/>
    <w:rsid w:val="00162738"/>
    <w:rsid w:val="00162DA1"/>
    <w:rsid w:val="00162F17"/>
    <w:rsid w:val="001649B6"/>
    <w:rsid w:val="001649D4"/>
    <w:rsid w:val="00165055"/>
    <w:rsid w:val="00165953"/>
    <w:rsid w:val="001659C1"/>
    <w:rsid w:val="0016740B"/>
    <w:rsid w:val="0017007F"/>
    <w:rsid w:val="00170904"/>
    <w:rsid w:val="00171B80"/>
    <w:rsid w:val="00171CFC"/>
    <w:rsid w:val="00171D69"/>
    <w:rsid w:val="00172662"/>
    <w:rsid w:val="00172F17"/>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CFB"/>
    <w:rsid w:val="00191DF3"/>
    <w:rsid w:val="001920BE"/>
    <w:rsid w:val="001924F1"/>
    <w:rsid w:val="00192796"/>
    <w:rsid w:val="001927FB"/>
    <w:rsid w:val="0019341A"/>
    <w:rsid w:val="001944C9"/>
    <w:rsid w:val="00194C46"/>
    <w:rsid w:val="0019564C"/>
    <w:rsid w:val="001964D8"/>
    <w:rsid w:val="00196C8D"/>
    <w:rsid w:val="00197DF9"/>
    <w:rsid w:val="001A16DF"/>
    <w:rsid w:val="001A1987"/>
    <w:rsid w:val="001A2564"/>
    <w:rsid w:val="001A2A85"/>
    <w:rsid w:val="001A33B2"/>
    <w:rsid w:val="001A3750"/>
    <w:rsid w:val="001A42B4"/>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2DCE"/>
    <w:rsid w:val="001D3361"/>
    <w:rsid w:val="001D51BA"/>
    <w:rsid w:val="001D53E7"/>
    <w:rsid w:val="001D6342"/>
    <w:rsid w:val="001D6839"/>
    <w:rsid w:val="001D6D53"/>
    <w:rsid w:val="001D79B3"/>
    <w:rsid w:val="001E15E0"/>
    <w:rsid w:val="001E15E3"/>
    <w:rsid w:val="001E2E72"/>
    <w:rsid w:val="001E4457"/>
    <w:rsid w:val="001E56ED"/>
    <w:rsid w:val="001E5749"/>
    <w:rsid w:val="001E58E2"/>
    <w:rsid w:val="001E5983"/>
    <w:rsid w:val="001E5BDC"/>
    <w:rsid w:val="001E6811"/>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0A1"/>
    <w:rsid w:val="002224D2"/>
    <w:rsid w:val="002224DB"/>
    <w:rsid w:val="00222538"/>
    <w:rsid w:val="002227DB"/>
    <w:rsid w:val="0022329D"/>
    <w:rsid w:val="00223FCB"/>
    <w:rsid w:val="0022430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47D46"/>
    <w:rsid w:val="002500C8"/>
    <w:rsid w:val="0025028C"/>
    <w:rsid w:val="00255738"/>
    <w:rsid w:val="00256429"/>
    <w:rsid w:val="00256C1E"/>
    <w:rsid w:val="00257543"/>
    <w:rsid w:val="00260203"/>
    <w:rsid w:val="0026072B"/>
    <w:rsid w:val="00260A16"/>
    <w:rsid w:val="002617E7"/>
    <w:rsid w:val="00261A53"/>
    <w:rsid w:val="00262140"/>
    <w:rsid w:val="0026298B"/>
    <w:rsid w:val="00264228"/>
    <w:rsid w:val="00264334"/>
    <w:rsid w:val="0026455C"/>
    <w:rsid w:val="0026473E"/>
    <w:rsid w:val="002652AD"/>
    <w:rsid w:val="00265513"/>
    <w:rsid w:val="00265BD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178"/>
    <w:rsid w:val="00281F4B"/>
    <w:rsid w:val="002822BC"/>
    <w:rsid w:val="0028280A"/>
    <w:rsid w:val="002861CD"/>
    <w:rsid w:val="00286908"/>
    <w:rsid w:val="00286ACD"/>
    <w:rsid w:val="00286BDE"/>
    <w:rsid w:val="00287838"/>
    <w:rsid w:val="00287BF2"/>
    <w:rsid w:val="002900D5"/>
    <w:rsid w:val="002907B5"/>
    <w:rsid w:val="002908C6"/>
    <w:rsid w:val="00291DD0"/>
    <w:rsid w:val="00292EB7"/>
    <w:rsid w:val="00293860"/>
    <w:rsid w:val="0029437A"/>
    <w:rsid w:val="00294A67"/>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0DB5"/>
    <w:rsid w:val="002B24D6"/>
    <w:rsid w:val="002B3021"/>
    <w:rsid w:val="002B33C8"/>
    <w:rsid w:val="002B54AD"/>
    <w:rsid w:val="002B54BE"/>
    <w:rsid w:val="002B6281"/>
    <w:rsid w:val="002B654E"/>
    <w:rsid w:val="002B6AD9"/>
    <w:rsid w:val="002B70D8"/>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E69"/>
    <w:rsid w:val="00300673"/>
    <w:rsid w:val="003009AB"/>
    <w:rsid w:val="00301CE6"/>
    <w:rsid w:val="00301D1B"/>
    <w:rsid w:val="0030256B"/>
    <w:rsid w:val="00302638"/>
    <w:rsid w:val="00302C0B"/>
    <w:rsid w:val="00302CEE"/>
    <w:rsid w:val="00304E30"/>
    <w:rsid w:val="0030501F"/>
    <w:rsid w:val="00305075"/>
    <w:rsid w:val="003067CA"/>
    <w:rsid w:val="00307BA1"/>
    <w:rsid w:val="0031073D"/>
    <w:rsid w:val="003112AB"/>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5FA0"/>
    <w:rsid w:val="00336BDA"/>
    <w:rsid w:val="003370FB"/>
    <w:rsid w:val="003372DB"/>
    <w:rsid w:val="00337A09"/>
    <w:rsid w:val="003400B0"/>
    <w:rsid w:val="0034033A"/>
    <w:rsid w:val="00342BD7"/>
    <w:rsid w:val="003433CE"/>
    <w:rsid w:val="003434C5"/>
    <w:rsid w:val="00343A1B"/>
    <w:rsid w:val="00344739"/>
    <w:rsid w:val="0034518E"/>
    <w:rsid w:val="00346DB5"/>
    <w:rsid w:val="003477B1"/>
    <w:rsid w:val="00350BA4"/>
    <w:rsid w:val="0035118F"/>
    <w:rsid w:val="003533A2"/>
    <w:rsid w:val="0035340E"/>
    <w:rsid w:val="00353B4B"/>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060"/>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AE5"/>
    <w:rsid w:val="003E1F93"/>
    <w:rsid w:val="003E3731"/>
    <w:rsid w:val="003E3DE9"/>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1105"/>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713"/>
    <w:rsid w:val="00437447"/>
    <w:rsid w:val="00441208"/>
    <w:rsid w:val="00441A92"/>
    <w:rsid w:val="00441E2C"/>
    <w:rsid w:val="00442430"/>
    <w:rsid w:val="004431DC"/>
    <w:rsid w:val="00444554"/>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2A0C"/>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716C"/>
    <w:rsid w:val="004B140F"/>
    <w:rsid w:val="004B2182"/>
    <w:rsid w:val="004B27D8"/>
    <w:rsid w:val="004B54B0"/>
    <w:rsid w:val="004B6F6A"/>
    <w:rsid w:val="004B7C0C"/>
    <w:rsid w:val="004C09EA"/>
    <w:rsid w:val="004C3493"/>
    <w:rsid w:val="004C3898"/>
    <w:rsid w:val="004C5315"/>
    <w:rsid w:val="004C5AC4"/>
    <w:rsid w:val="004C5E29"/>
    <w:rsid w:val="004C6722"/>
    <w:rsid w:val="004C6B03"/>
    <w:rsid w:val="004C71D0"/>
    <w:rsid w:val="004C721A"/>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86D"/>
    <w:rsid w:val="00512CDA"/>
    <w:rsid w:val="00512DC6"/>
    <w:rsid w:val="005139D5"/>
    <w:rsid w:val="005153A7"/>
    <w:rsid w:val="005212F9"/>
    <w:rsid w:val="005219CF"/>
    <w:rsid w:val="00521DB2"/>
    <w:rsid w:val="00522636"/>
    <w:rsid w:val="005241E2"/>
    <w:rsid w:val="005275AD"/>
    <w:rsid w:val="00530403"/>
    <w:rsid w:val="00531C1B"/>
    <w:rsid w:val="00531D24"/>
    <w:rsid w:val="0053432F"/>
    <w:rsid w:val="00534B59"/>
    <w:rsid w:val="005352AC"/>
    <w:rsid w:val="0053579D"/>
    <w:rsid w:val="005359FE"/>
    <w:rsid w:val="00535D9C"/>
    <w:rsid w:val="00535F91"/>
    <w:rsid w:val="005362FE"/>
    <w:rsid w:val="00536759"/>
    <w:rsid w:val="00537C62"/>
    <w:rsid w:val="0054046B"/>
    <w:rsid w:val="00540D30"/>
    <w:rsid w:val="00542DCD"/>
    <w:rsid w:val="00542EB7"/>
    <w:rsid w:val="0054333D"/>
    <w:rsid w:val="0054399F"/>
    <w:rsid w:val="00543B68"/>
    <w:rsid w:val="00545194"/>
    <w:rsid w:val="00546970"/>
    <w:rsid w:val="005474F3"/>
    <w:rsid w:val="00547609"/>
    <w:rsid w:val="00551CC4"/>
    <w:rsid w:val="0055236D"/>
    <w:rsid w:val="00552810"/>
    <w:rsid w:val="0055291A"/>
    <w:rsid w:val="005537C9"/>
    <w:rsid w:val="00553975"/>
    <w:rsid w:val="00554E19"/>
    <w:rsid w:val="005559AF"/>
    <w:rsid w:val="0055704E"/>
    <w:rsid w:val="0055781E"/>
    <w:rsid w:val="0056082A"/>
    <w:rsid w:val="0056121F"/>
    <w:rsid w:val="00562B55"/>
    <w:rsid w:val="00563176"/>
    <w:rsid w:val="00563271"/>
    <w:rsid w:val="00563FC9"/>
    <w:rsid w:val="00564BBA"/>
    <w:rsid w:val="00565436"/>
    <w:rsid w:val="00565A4E"/>
    <w:rsid w:val="0057058C"/>
    <w:rsid w:val="00571466"/>
    <w:rsid w:val="00572505"/>
    <w:rsid w:val="00573835"/>
    <w:rsid w:val="00574890"/>
    <w:rsid w:val="00574AD8"/>
    <w:rsid w:val="005750B8"/>
    <w:rsid w:val="0057607D"/>
    <w:rsid w:val="00576981"/>
    <w:rsid w:val="00577965"/>
    <w:rsid w:val="00582094"/>
    <w:rsid w:val="00582809"/>
    <w:rsid w:val="00583294"/>
    <w:rsid w:val="005841F3"/>
    <w:rsid w:val="0058468B"/>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6B"/>
    <w:rsid w:val="005A662D"/>
    <w:rsid w:val="005A72E4"/>
    <w:rsid w:val="005B0675"/>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14AF"/>
    <w:rsid w:val="005C37DC"/>
    <w:rsid w:val="005C4DEE"/>
    <w:rsid w:val="005C4EFC"/>
    <w:rsid w:val="005C556E"/>
    <w:rsid w:val="005C6E3A"/>
    <w:rsid w:val="005C74FB"/>
    <w:rsid w:val="005C7B3A"/>
    <w:rsid w:val="005C7C0B"/>
    <w:rsid w:val="005D0F2B"/>
    <w:rsid w:val="005D1602"/>
    <w:rsid w:val="005D24B5"/>
    <w:rsid w:val="005D3B77"/>
    <w:rsid w:val="005D44FF"/>
    <w:rsid w:val="005D4F4C"/>
    <w:rsid w:val="005D67DA"/>
    <w:rsid w:val="005D6B0D"/>
    <w:rsid w:val="005D7068"/>
    <w:rsid w:val="005D77CF"/>
    <w:rsid w:val="005E15D2"/>
    <w:rsid w:val="005E2B45"/>
    <w:rsid w:val="005E2C8B"/>
    <w:rsid w:val="005E385F"/>
    <w:rsid w:val="005E3AFC"/>
    <w:rsid w:val="005E428B"/>
    <w:rsid w:val="005E5ABF"/>
    <w:rsid w:val="005E5B81"/>
    <w:rsid w:val="005E5E7F"/>
    <w:rsid w:val="005F00AC"/>
    <w:rsid w:val="005F034C"/>
    <w:rsid w:val="005F1411"/>
    <w:rsid w:val="005F1D72"/>
    <w:rsid w:val="005F2228"/>
    <w:rsid w:val="005F2CB1"/>
    <w:rsid w:val="005F3025"/>
    <w:rsid w:val="005F309B"/>
    <w:rsid w:val="005F492B"/>
    <w:rsid w:val="005F5664"/>
    <w:rsid w:val="005F618C"/>
    <w:rsid w:val="005F70BD"/>
    <w:rsid w:val="005F7DA4"/>
    <w:rsid w:val="00600159"/>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0F4"/>
    <w:rsid w:val="00647618"/>
    <w:rsid w:val="0064795A"/>
    <w:rsid w:val="006501BC"/>
    <w:rsid w:val="00650AB9"/>
    <w:rsid w:val="00651399"/>
    <w:rsid w:val="00653850"/>
    <w:rsid w:val="00653DE1"/>
    <w:rsid w:val="00655733"/>
    <w:rsid w:val="00655ACD"/>
    <w:rsid w:val="00656A92"/>
    <w:rsid w:val="00656C02"/>
    <w:rsid w:val="00656DDE"/>
    <w:rsid w:val="00656E72"/>
    <w:rsid w:val="00657A31"/>
    <w:rsid w:val="0066011D"/>
    <w:rsid w:val="006607C0"/>
    <w:rsid w:val="006613A6"/>
    <w:rsid w:val="00661A28"/>
    <w:rsid w:val="006620DA"/>
    <w:rsid w:val="006627A2"/>
    <w:rsid w:val="006634E6"/>
    <w:rsid w:val="006655EE"/>
    <w:rsid w:val="00665FB0"/>
    <w:rsid w:val="0066693D"/>
    <w:rsid w:val="00667EE7"/>
    <w:rsid w:val="00670499"/>
    <w:rsid w:val="00670922"/>
    <w:rsid w:val="00670BE1"/>
    <w:rsid w:val="006717B2"/>
    <w:rsid w:val="0067218F"/>
    <w:rsid w:val="00672613"/>
    <w:rsid w:val="006741F2"/>
    <w:rsid w:val="00674226"/>
    <w:rsid w:val="006749B8"/>
    <w:rsid w:val="00674CC3"/>
    <w:rsid w:val="0067510A"/>
    <w:rsid w:val="0067553F"/>
    <w:rsid w:val="00675C72"/>
    <w:rsid w:val="00675F2E"/>
    <w:rsid w:val="00676CF0"/>
    <w:rsid w:val="006771F9"/>
    <w:rsid w:val="006776D7"/>
    <w:rsid w:val="00681003"/>
    <w:rsid w:val="00681297"/>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3B9A"/>
    <w:rsid w:val="006B4A20"/>
    <w:rsid w:val="006B50CF"/>
    <w:rsid w:val="006B5C38"/>
    <w:rsid w:val="006C03B8"/>
    <w:rsid w:val="006C06C1"/>
    <w:rsid w:val="006C2602"/>
    <w:rsid w:val="006C3036"/>
    <w:rsid w:val="006C3293"/>
    <w:rsid w:val="006C36DC"/>
    <w:rsid w:val="006C3E60"/>
    <w:rsid w:val="006C4C27"/>
    <w:rsid w:val="006C5EC9"/>
    <w:rsid w:val="006C6059"/>
    <w:rsid w:val="006C6642"/>
    <w:rsid w:val="006C7522"/>
    <w:rsid w:val="006D0E4F"/>
    <w:rsid w:val="006D2ABA"/>
    <w:rsid w:val="006D4198"/>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087"/>
    <w:rsid w:val="006F4243"/>
    <w:rsid w:val="006F47FC"/>
    <w:rsid w:val="006F55B4"/>
    <w:rsid w:val="006F58D4"/>
    <w:rsid w:val="006F5C49"/>
    <w:rsid w:val="006F6582"/>
    <w:rsid w:val="007017A6"/>
    <w:rsid w:val="00701A1C"/>
    <w:rsid w:val="0070346E"/>
    <w:rsid w:val="00703D82"/>
    <w:rsid w:val="00704C9D"/>
    <w:rsid w:val="00704CB9"/>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27F54"/>
    <w:rsid w:val="00730AE8"/>
    <w:rsid w:val="00731116"/>
    <w:rsid w:val="00731642"/>
    <w:rsid w:val="00731ACD"/>
    <w:rsid w:val="00732810"/>
    <w:rsid w:val="00733E8F"/>
    <w:rsid w:val="007348B1"/>
    <w:rsid w:val="00735780"/>
    <w:rsid w:val="00736221"/>
    <w:rsid w:val="007362A6"/>
    <w:rsid w:val="007362C9"/>
    <w:rsid w:val="00736586"/>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5255"/>
    <w:rsid w:val="007571E1"/>
    <w:rsid w:val="00757A58"/>
    <w:rsid w:val="007600C0"/>
    <w:rsid w:val="007604B2"/>
    <w:rsid w:val="00761E2E"/>
    <w:rsid w:val="00761EBB"/>
    <w:rsid w:val="00762AE1"/>
    <w:rsid w:val="00765281"/>
    <w:rsid w:val="00765C06"/>
    <w:rsid w:val="007664DF"/>
    <w:rsid w:val="007669A5"/>
    <w:rsid w:val="00766BAD"/>
    <w:rsid w:val="00766F28"/>
    <w:rsid w:val="0076780E"/>
    <w:rsid w:val="00767AD1"/>
    <w:rsid w:val="00770854"/>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095"/>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7526"/>
    <w:rsid w:val="007E014D"/>
    <w:rsid w:val="007E07D1"/>
    <w:rsid w:val="007E14D8"/>
    <w:rsid w:val="007E39A7"/>
    <w:rsid w:val="007E3D76"/>
    <w:rsid w:val="007E4610"/>
    <w:rsid w:val="007E4715"/>
    <w:rsid w:val="007E505B"/>
    <w:rsid w:val="007E6A8E"/>
    <w:rsid w:val="007E7091"/>
    <w:rsid w:val="007F08B2"/>
    <w:rsid w:val="007F2DC4"/>
    <w:rsid w:val="007F4B13"/>
    <w:rsid w:val="007F5F3C"/>
    <w:rsid w:val="00801719"/>
    <w:rsid w:val="00801DFF"/>
    <w:rsid w:val="008027E9"/>
    <w:rsid w:val="00802D44"/>
    <w:rsid w:val="008033A9"/>
    <w:rsid w:val="008034FE"/>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2034"/>
    <w:rsid w:val="00842360"/>
    <w:rsid w:val="008428DC"/>
    <w:rsid w:val="008444E8"/>
    <w:rsid w:val="00844E80"/>
    <w:rsid w:val="00846795"/>
    <w:rsid w:val="00846FE7"/>
    <w:rsid w:val="008476C6"/>
    <w:rsid w:val="00850395"/>
    <w:rsid w:val="00851594"/>
    <w:rsid w:val="00851AEF"/>
    <w:rsid w:val="00852C3B"/>
    <w:rsid w:val="008540F2"/>
    <w:rsid w:val="008546E1"/>
    <w:rsid w:val="00854F47"/>
    <w:rsid w:val="00856911"/>
    <w:rsid w:val="008620E0"/>
    <w:rsid w:val="008622B8"/>
    <w:rsid w:val="0086255A"/>
    <w:rsid w:val="00864C65"/>
    <w:rsid w:val="008658C8"/>
    <w:rsid w:val="0086595A"/>
    <w:rsid w:val="00866FD4"/>
    <w:rsid w:val="008677FD"/>
    <w:rsid w:val="00867831"/>
    <w:rsid w:val="008702ED"/>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45DB"/>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27E"/>
    <w:rsid w:val="008A2CE2"/>
    <w:rsid w:val="008A30AC"/>
    <w:rsid w:val="008A30F9"/>
    <w:rsid w:val="008A3157"/>
    <w:rsid w:val="008A3B7F"/>
    <w:rsid w:val="008A3C08"/>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5CFC"/>
    <w:rsid w:val="008C6AE8"/>
    <w:rsid w:val="008C7573"/>
    <w:rsid w:val="008D00A5"/>
    <w:rsid w:val="008D06C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6D8E"/>
    <w:rsid w:val="008D777F"/>
    <w:rsid w:val="008E03C0"/>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1FD8"/>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55E"/>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6DAF"/>
    <w:rsid w:val="00937788"/>
    <w:rsid w:val="00941061"/>
    <w:rsid w:val="00941636"/>
    <w:rsid w:val="00943394"/>
    <w:rsid w:val="00943742"/>
    <w:rsid w:val="00943BFA"/>
    <w:rsid w:val="00945640"/>
    <w:rsid w:val="00945C05"/>
    <w:rsid w:val="00946945"/>
    <w:rsid w:val="009470A5"/>
    <w:rsid w:val="009473DB"/>
    <w:rsid w:val="0094750C"/>
    <w:rsid w:val="00947713"/>
    <w:rsid w:val="00950DE7"/>
    <w:rsid w:val="009512F1"/>
    <w:rsid w:val="00952568"/>
    <w:rsid w:val="0095361D"/>
    <w:rsid w:val="00953920"/>
    <w:rsid w:val="00953A81"/>
    <w:rsid w:val="00953D47"/>
    <w:rsid w:val="0095477C"/>
    <w:rsid w:val="009562FF"/>
    <w:rsid w:val="0095681E"/>
    <w:rsid w:val="00957266"/>
    <w:rsid w:val="009572D4"/>
    <w:rsid w:val="009573E5"/>
    <w:rsid w:val="0096030F"/>
    <w:rsid w:val="00960681"/>
    <w:rsid w:val="00961921"/>
    <w:rsid w:val="00961BB2"/>
    <w:rsid w:val="00961CCD"/>
    <w:rsid w:val="00961EF3"/>
    <w:rsid w:val="00962B77"/>
    <w:rsid w:val="009632C2"/>
    <w:rsid w:val="0096430A"/>
    <w:rsid w:val="0096458E"/>
    <w:rsid w:val="00964819"/>
    <w:rsid w:val="009652E5"/>
    <w:rsid w:val="0096554B"/>
    <w:rsid w:val="0096584A"/>
    <w:rsid w:val="0096660E"/>
    <w:rsid w:val="00966FB6"/>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5A79"/>
    <w:rsid w:val="00986143"/>
    <w:rsid w:val="00986D46"/>
    <w:rsid w:val="00986EE3"/>
    <w:rsid w:val="009874F2"/>
    <w:rsid w:val="009876C6"/>
    <w:rsid w:val="00987AC7"/>
    <w:rsid w:val="00990630"/>
    <w:rsid w:val="00991761"/>
    <w:rsid w:val="00991F84"/>
    <w:rsid w:val="0099214E"/>
    <w:rsid w:val="00993348"/>
    <w:rsid w:val="0099363C"/>
    <w:rsid w:val="009941D6"/>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72E2"/>
    <w:rsid w:val="009F08F3"/>
    <w:rsid w:val="009F1B37"/>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6A4F"/>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B08"/>
    <w:rsid w:val="00A3773A"/>
    <w:rsid w:val="00A3790A"/>
    <w:rsid w:val="00A40B3D"/>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1D77"/>
    <w:rsid w:val="00A62846"/>
    <w:rsid w:val="00A62A77"/>
    <w:rsid w:val="00A63483"/>
    <w:rsid w:val="00A6356A"/>
    <w:rsid w:val="00A6408D"/>
    <w:rsid w:val="00A657D7"/>
    <w:rsid w:val="00A660AC"/>
    <w:rsid w:val="00A67E6C"/>
    <w:rsid w:val="00A70187"/>
    <w:rsid w:val="00A706A2"/>
    <w:rsid w:val="00A71B99"/>
    <w:rsid w:val="00A739C6"/>
    <w:rsid w:val="00A739D0"/>
    <w:rsid w:val="00A75612"/>
    <w:rsid w:val="00A761D4"/>
    <w:rsid w:val="00A7791E"/>
    <w:rsid w:val="00A77EC4"/>
    <w:rsid w:val="00A80079"/>
    <w:rsid w:val="00A81012"/>
    <w:rsid w:val="00A819EB"/>
    <w:rsid w:val="00A83C21"/>
    <w:rsid w:val="00A83F5F"/>
    <w:rsid w:val="00A8416B"/>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334"/>
    <w:rsid w:val="00AB2601"/>
    <w:rsid w:val="00AB4152"/>
    <w:rsid w:val="00AB4AB8"/>
    <w:rsid w:val="00AB5E48"/>
    <w:rsid w:val="00AB61EC"/>
    <w:rsid w:val="00AB64A7"/>
    <w:rsid w:val="00AB655E"/>
    <w:rsid w:val="00AB6D11"/>
    <w:rsid w:val="00AC007F"/>
    <w:rsid w:val="00AC0537"/>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EC3"/>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E64E2"/>
    <w:rsid w:val="00AF01E6"/>
    <w:rsid w:val="00AF0559"/>
    <w:rsid w:val="00AF1780"/>
    <w:rsid w:val="00AF1C5D"/>
    <w:rsid w:val="00AF2AE6"/>
    <w:rsid w:val="00AF2DA7"/>
    <w:rsid w:val="00AF42BB"/>
    <w:rsid w:val="00AF42D7"/>
    <w:rsid w:val="00B006FE"/>
    <w:rsid w:val="00B007CB"/>
    <w:rsid w:val="00B0184B"/>
    <w:rsid w:val="00B02975"/>
    <w:rsid w:val="00B029D9"/>
    <w:rsid w:val="00B02AA9"/>
    <w:rsid w:val="00B02FA3"/>
    <w:rsid w:val="00B041A5"/>
    <w:rsid w:val="00B046A0"/>
    <w:rsid w:val="00B04FB9"/>
    <w:rsid w:val="00B05084"/>
    <w:rsid w:val="00B06ABA"/>
    <w:rsid w:val="00B07253"/>
    <w:rsid w:val="00B10DBE"/>
    <w:rsid w:val="00B118CA"/>
    <w:rsid w:val="00B1235A"/>
    <w:rsid w:val="00B130D1"/>
    <w:rsid w:val="00B14A30"/>
    <w:rsid w:val="00B14C34"/>
    <w:rsid w:val="00B15246"/>
    <w:rsid w:val="00B15656"/>
    <w:rsid w:val="00B157F9"/>
    <w:rsid w:val="00B15B7A"/>
    <w:rsid w:val="00B16B4D"/>
    <w:rsid w:val="00B1785D"/>
    <w:rsid w:val="00B20256"/>
    <w:rsid w:val="00B20D09"/>
    <w:rsid w:val="00B20DDB"/>
    <w:rsid w:val="00B21CAC"/>
    <w:rsid w:val="00B2203E"/>
    <w:rsid w:val="00B23A92"/>
    <w:rsid w:val="00B23F54"/>
    <w:rsid w:val="00B2402F"/>
    <w:rsid w:val="00B2763F"/>
    <w:rsid w:val="00B27AAC"/>
    <w:rsid w:val="00B30929"/>
    <w:rsid w:val="00B30A5F"/>
    <w:rsid w:val="00B31D2A"/>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906AC"/>
    <w:rsid w:val="00B90F73"/>
    <w:rsid w:val="00B91421"/>
    <w:rsid w:val="00B915F1"/>
    <w:rsid w:val="00B92C54"/>
    <w:rsid w:val="00B93B59"/>
    <w:rsid w:val="00B93F06"/>
    <w:rsid w:val="00B9406A"/>
    <w:rsid w:val="00B945E3"/>
    <w:rsid w:val="00B94B10"/>
    <w:rsid w:val="00B96FA6"/>
    <w:rsid w:val="00BA01CD"/>
    <w:rsid w:val="00BA0DE1"/>
    <w:rsid w:val="00BA1D10"/>
    <w:rsid w:val="00BA2245"/>
    <w:rsid w:val="00BA2277"/>
    <w:rsid w:val="00BA2280"/>
    <w:rsid w:val="00BA2A08"/>
    <w:rsid w:val="00BA4A81"/>
    <w:rsid w:val="00BA56D2"/>
    <w:rsid w:val="00BA75FD"/>
    <w:rsid w:val="00BA76E0"/>
    <w:rsid w:val="00BA777C"/>
    <w:rsid w:val="00BA7BE8"/>
    <w:rsid w:val="00BB0873"/>
    <w:rsid w:val="00BB2803"/>
    <w:rsid w:val="00BB2A25"/>
    <w:rsid w:val="00BB3887"/>
    <w:rsid w:val="00BB399F"/>
    <w:rsid w:val="00BB4C67"/>
    <w:rsid w:val="00BB4D8F"/>
    <w:rsid w:val="00BB51E9"/>
    <w:rsid w:val="00BB5965"/>
    <w:rsid w:val="00BB59BC"/>
    <w:rsid w:val="00BB5EC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760"/>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37DEB"/>
    <w:rsid w:val="00C415A1"/>
    <w:rsid w:val="00C429DB"/>
    <w:rsid w:val="00C45A75"/>
    <w:rsid w:val="00C4635A"/>
    <w:rsid w:val="00C46A90"/>
    <w:rsid w:val="00C471BC"/>
    <w:rsid w:val="00C473A5"/>
    <w:rsid w:val="00C47777"/>
    <w:rsid w:val="00C47A73"/>
    <w:rsid w:val="00C511E4"/>
    <w:rsid w:val="00C51B4C"/>
    <w:rsid w:val="00C52732"/>
    <w:rsid w:val="00C52E22"/>
    <w:rsid w:val="00C54995"/>
    <w:rsid w:val="00C54D41"/>
    <w:rsid w:val="00C557D1"/>
    <w:rsid w:val="00C55ADB"/>
    <w:rsid w:val="00C60783"/>
    <w:rsid w:val="00C60941"/>
    <w:rsid w:val="00C60AC0"/>
    <w:rsid w:val="00C60F7F"/>
    <w:rsid w:val="00C60F9F"/>
    <w:rsid w:val="00C630C6"/>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947"/>
    <w:rsid w:val="00C76E3C"/>
    <w:rsid w:val="00C77376"/>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3BB"/>
    <w:rsid w:val="00CB4E82"/>
    <w:rsid w:val="00CB5354"/>
    <w:rsid w:val="00CB6112"/>
    <w:rsid w:val="00CB6AFC"/>
    <w:rsid w:val="00CB6B57"/>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84A"/>
    <w:rsid w:val="00CD205D"/>
    <w:rsid w:val="00CD2358"/>
    <w:rsid w:val="00CD298A"/>
    <w:rsid w:val="00CD2ED1"/>
    <w:rsid w:val="00CD337B"/>
    <w:rsid w:val="00CD337C"/>
    <w:rsid w:val="00CD529C"/>
    <w:rsid w:val="00CD6817"/>
    <w:rsid w:val="00CD6F85"/>
    <w:rsid w:val="00CD7121"/>
    <w:rsid w:val="00CD7315"/>
    <w:rsid w:val="00CD77F8"/>
    <w:rsid w:val="00CE0424"/>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CF7706"/>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3E76"/>
    <w:rsid w:val="00D15473"/>
    <w:rsid w:val="00D1649E"/>
    <w:rsid w:val="00D165F6"/>
    <w:rsid w:val="00D1673F"/>
    <w:rsid w:val="00D16CED"/>
    <w:rsid w:val="00D1782C"/>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5DAC"/>
    <w:rsid w:val="00D46473"/>
    <w:rsid w:val="00D50936"/>
    <w:rsid w:val="00D50C0D"/>
    <w:rsid w:val="00D514F0"/>
    <w:rsid w:val="00D51941"/>
    <w:rsid w:val="00D526CA"/>
    <w:rsid w:val="00D52966"/>
    <w:rsid w:val="00D53416"/>
    <w:rsid w:val="00D546FF"/>
    <w:rsid w:val="00D54710"/>
    <w:rsid w:val="00D553F8"/>
    <w:rsid w:val="00D55425"/>
    <w:rsid w:val="00D5580D"/>
    <w:rsid w:val="00D55AD5"/>
    <w:rsid w:val="00D56504"/>
    <w:rsid w:val="00D576CA"/>
    <w:rsid w:val="00D57880"/>
    <w:rsid w:val="00D57B85"/>
    <w:rsid w:val="00D603FE"/>
    <w:rsid w:val="00D60A12"/>
    <w:rsid w:val="00D61155"/>
    <w:rsid w:val="00D61235"/>
    <w:rsid w:val="00D616AB"/>
    <w:rsid w:val="00D61AF5"/>
    <w:rsid w:val="00D61B49"/>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777"/>
    <w:rsid w:val="00D93DD1"/>
    <w:rsid w:val="00D957FF"/>
    <w:rsid w:val="00D95E85"/>
    <w:rsid w:val="00D964E3"/>
    <w:rsid w:val="00D96C1B"/>
    <w:rsid w:val="00D96F12"/>
    <w:rsid w:val="00D971F9"/>
    <w:rsid w:val="00DA0D83"/>
    <w:rsid w:val="00DA1273"/>
    <w:rsid w:val="00DA22AF"/>
    <w:rsid w:val="00DA305E"/>
    <w:rsid w:val="00DA32E8"/>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0C33"/>
    <w:rsid w:val="00DE199B"/>
    <w:rsid w:val="00DE241F"/>
    <w:rsid w:val="00DE255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DF7F64"/>
    <w:rsid w:val="00E00292"/>
    <w:rsid w:val="00E00E39"/>
    <w:rsid w:val="00E011A0"/>
    <w:rsid w:val="00E02384"/>
    <w:rsid w:val="00E02542"/>
    <w:rsid w:val="00E035CB"/>
    <w:rsid w:val="00E03787"/>
    <w:rsid w:val="00E04F1E"/>
    <w:rsid w:val="00E0510B"/>
    <w:rsid w:val="00E05278"/>
    <w:rsid w:val="00E05465"/>
    <w:rsid w:val="00E0585F"/>
    <w:rsid w:val="00E07765"/>
    <w:rsid w:val="00E109EA"/>
    <w:rsid w:val="00E110E7"/>
    <w:rsid w:val="00E11B20"/>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5F99"/>
    <w:rsid w:val="00E460CF"/>
    <w:rsid w:val="00E46886"/>
    <w:rsid w:val="00E47A07"/>
    <w:rsid w:val="00E47AEF"/>
    <w:rsid w:val="00E5006B"/>
    <w:rsid w:val="00E51D65"/>
    <w:rsid w:val="00E53B75"/>
    <w:rsid w:val="00E53B97"/>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753"/>
    <w:rsid w:val="00E8116F"/>
    <w:rsid w:val="00E813E7"/>
    <w:rsid w:val="00E818E5"/>
    <w:rsid w:val="00E81914"/>
    <w:rsid w:val="00E81D53"/>
    <w:rsid w:val="00E8234C"/>
    <w:rsid w:val="00E823C6"/>
    <w:rsid w:val="00E82DCE"/>
    <w:rsid w:val="00E83161"/>
    <w:rsid w:val="00E837A3"/>
    <w:rsid w:val="00E83AA9"/>
    <w:rsid w:val="00E85728"/>
    <w:rsid w:val="00E85928"/>
    <w:rsid w:val="00E85F5D"/>
    <w:rsid w:val="00E8726C"/>
    <w:rsid w:val="00E87822"/>
    <w:rsid w:val="00E90395"/>
    <w:rsid w:val="00E90E49"/>
    <w:rsid w:val="00E90FD2"/>
    <w:rsid w:val="00E917F9"/>
    <w:rsid w:val="00E91A66"/>
    <w:rsid w:val="00E9291C"/>
    <w:rsid w:val="00E93062"/>
    <w:rsid w:val="00E93739"/>
    <w:rsid w:val="00E9395B"/>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3BCD"/>
    <w:rsid w:val="00EB4EA2"/>
    <w:rsid w:val="00EB5475"/>
    <w:rsid w:val="00EB597E"/>
    <w:rsid w:val="00EC0674"/>
    <w:rsid w:val="00EC11C2"/>
    <w:rsid w:val="00EC1E9B"/>
    <w:rsid w:val="00EC21F6"/>
    <w:rsid w:val="00EC24D5"/>
    <w:rsid w:val="00EC27C6"/>
    <w:rsid w:val="00EC392C"/>
    <w:rsid w:val="00EC4207"/>
    <w:rsid w:val="00EC4EC5"/>
    <w:rsid w:val="00EC5017"/>
    <w:rsid w:val="00EC54AC"/>
    <w:rsid w:val="00EC5653"/>
    <w:rsid w:val="00EC5665"/>
    <w:rsid w:val="00EC5709"/>
    <w:rsid w:val="00EC59C4"/>
    <w:rsid w:val="00EC5C6C"/>
    <w:rsid w:val="00EC6B82"/>
    <w:rsid w:val="00EC71CE"/>
    <w:rsid w:val="00EC7330"/>
    <w:rsid w:val="00ED1006"/>
    <w:rsid w:val="00ED2786"/>
    <w:rsid w:val="00ED351B"/>
    <w:rsid w:val="00ED3F35"/>
    <w:rsid w:val="00ED449A"/>
    <w:rsid w:val="00ED48AE"/>
    <w:rsid w:val="00ED4BBC"/>
    <w:rsid w:val="00ED5510"/>
    <w:rsid w:val="00ED5D0A"/>
    <w:rsid w:val="00ED7778"/>
    <w:rsid w:val="00EE190A"/>
    <w:rsid w:val="00EE2D23"/>
    <w:rsid w:val="00EE32ED"/>
    <w:rsid w:val="00EE4652"/>
    <w:rsid w:val="00EE57EA"/>
    <w:rsid w:val="00EE5914"/>
    <w:rsid w:val="00EE618A"/>
    <w:rsid w:val="00EE625B"/>
    <w:rsid w:val="00EE632E"/>
    <w:rsid w:val="00EE6824"/>
    <w:rsid w:val="00EE7642"/>
    <w:rsid w:val="00EF008F"/>
    <w:rsid w:val="00EF0537"/>
    <w:rsid w:val="00EF18FE"/>
    <w:rsid w:val="00EF1C8D"/>
    <w:rsid w:val="00EF1E88"/>
    <w:rsid w:val="00EF1ED4"/>
    <w:rsid w:val="00EF20A4"/>
    <w:rsid w:val="00EF5787"/>
    <w:rsid w:val="00EF60D0"/>
    <w:rsid w:val="00EF6B6E"/>
    <w:rsid w:val="00EF769D"/>
    <w:rsid w:val="00F02DBE"/>
    <w:rsid w:val="00F0465F"/>
    <w:rsid w:val="00F0467F"/>
    <w:rsid w:val="00F04F6E"/>
    <w:rsid w:val="00F0528D"/>
    <w:rsid w:val="00F06221"/>
    <w:rsid w:val="00F06C67"/>
    <w:rsid w:val="00F06DFD"/>
    <w:rsid w:val="00F07120"/>
    <w:rsid w:val="00F071D1"/>
    <w:rsid w:val="00F072BD"/>
    <w:rsid w:val="00F07533"/>
    <w:rsid w:val="00F07FF8"/>
    <w:rsid w:val="00F10629"/>
    <w:rsid w:val="00F10CE2"/>
    <w:rsid w:val="00F130A3"/>
    <w:rsid w:val="00F1382E"/>
    <w:rsid w:val="00F13A13"/>
    <w:rsid w:val="00F143A0"/>
    <w:rsid w:val="00F14E04"/>
    <w:rsid w:val="00F15FA5"/>
    <w:rsid w:val="00F168A9"/>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5848"/>
    <w:rsid w:val="00F4704E"/>
    <w:rsid w:val="00F4766C"/>
    <w:rsid w:val="00F47F21"/>
    <w:rsid w:val="00F5060E"/>
    <w:rsid w:val="00F507D1"/>
    <w:rsid w:val="00F50DC9"/>
    <w:rsid w:val="00F519CE"/>
    <w:rsid w:val="00F51ADA"/>
    <w:rsid w:val="00F53ED8"/>
    <w:rsid w:val="00F5512E"/>
    <w:rsid w:val="00F56BFA"/>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694"/>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9D8"/>
    <w:rsid w:val="00F868F5"/>
    <w:rsid w:val="00F86A64"/>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702"/>
    <w:rsid w:val="00FA6806"/>
    <w:rsid w:val="00FA698C"/>
    <w:rsid w:val="00FA6CD0"/>
    <w:rsid w:val="00FA7177"/>
    <w:rsid w:val="00FA72FE"/>
    <w:rsid w:val="00FA785A"/>
    <w:rsid w:val="00FA7A5E"/>
    <w:rsid w:val="00FB1D26"/>
    <w:rsid w:val="00FB3CF9"/>
    <w:rsid w:val="00FB4C80"/>
    <w:rsid w:val="00FB4CFB"/>
    <w:rsid w:val="00FB5482"/>
    <w:rsid w:val="00FB6A6A"/>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1286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D35CBE-5B85-4D06-A7A3-3D21CEF7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3</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528</cp:revision>
  <cp:lastPrinted>2008-01-31T07:09:00Z</cp:lastPrinted>
  <dcterms:created xsi:type="dcterms:W3CDTF">2022-07-27T03:17:00Z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